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AB" w:rsidRDefault="00C42DAB" w:rsidP="00F6417E">
      <w:pPr>
        <w:rPr>
          <w:color w:val="000000"/>
          <w:sz w:val="28"/>
          <w:szCs w:val="28"/>
        </w:rPr>
      </w:pPr>
    </w:p>
    <w:p w:rsidR="00C42DAB" w:rsidRDefault="00C42DAB" w:rsidP="00F6417E">
      <w:pPr>
        <w:rPr>
          <w:color w:val="000000"/>
          <w:sz w:val="28"/>
          <w:szCs w:val="28"/>
        </w:rPr>
      </w:pPr>
      <w:r w:rsidRPr="00DE6707">
        <w:rPr>
          <w:color w:val="000000"/>
          <w:sz w:val="28"/>
          <w:szCs w:val="28"/>
        </w:rPr>
        <w:t xml:space="preserve">Minutes </w:t>
      </w:r>
      <w:r>
        <w:rPr>
          <w:color w:val="000000"/>
          <w:sz w:val="28"/>
          <w:szCs w:val="28"/>
        </w:rPr>
        <w:t xml:space="preserve">of the </w:t>
      </w:r>
      <w:r w:rsidRPr="00DD12E3">
        <w:rPr>
          <w:color w:val="000000"/>
          <w:sz w:val="28"/>
          <w:szCs w:val="28"/>
        </w:rPr>
        <w:t xml:space="preserve">EFP </w:t>
      </w:r>
      <w:r>
        <w:rPr>
          <w:color w:val="000000"/>
          <w:sz w:val="28"/>
          <w:szCs w:val="28"/>
        </w:rPr>
        <w:t>Review M</w:t>
      </w:r>
      <w:r w:rsidRPr="00DD12E3">
        <w:rPr>
          <w:color w:val="000000"/>
          <w:sz w:val="28"/>
          <w:szCs w:val="28"/>
        </w:rPr>
        <w:t>eeting</w:t>
      </w:r>
      <w:r>
        <w:rPr>
          <w:color w:val="000000"/>
          <w:sz w:val="28"/>
          <w:szCs w:val="28"/>
        </w:rPr>
        <w:t xml:space="preserve">, </w:t>
      </w:r>
      <w:smartTag w:uri="urn:schemas-microsoft-com:office:smarttags" w:element="place">
        <w:smartTag w:uri="urn:schemas-microsoft-com:office:smarttags" w:element="City">
          <w:r>
            <w:rPr>
              <w:color w:val="000000"/>
              <w:sz w:val="28"/>
              <w:szCs w:val="28"/>
            </w:rPr>
            <w:t>Seville</w:t>
          </w:r>
        </w:smartTag>
      </w:smartTag>
      <w:r>
        <w:rPr>
          <w:color w:val="000000"/>
          <w:sz w:val="28"/>
          <w:szCs w:val="28"/>
        </w:rPr>
        <w:t>, 11 May 2011</w:t>
      </w:r>
    </w:p>
    <w:p w:rsidR="00C42DAB" w:rsidRPr="00F805DE" w:rsidRDefault="00C42DAB" w:rsidP="0076415C">
      <w:pPr>
        <w:pStyle w:val="Body"/>
        <w:suppressAutoHyphens w:val="0"/>
        <w:spacing w:line="240" w:lineRule="auto"/>
        <w:rPr>
          <w:lang w:val="en-US"/>
        </w:rPr>
      </w:pPr>
    </w:p>
    <w:tbl>
      <w:tblPr>
        <w:tblW w:w="0" w:type="auto"/>
        <w:tblLook w:val="00A0"/>
      </w:tblPr>
      <w:tblGrid>
        <w:gridCol w:w="2660"/>
        <w:gridCol w:w="6628"/>
      </w:tblGrid>
      <w:tr w:rsidR="00C42DAB" w:rsidRPr="009C6CC3" w:rsidTr="003D6933">
        <w:tc>
          <w:tcPr>
            <w:tcW w:w="2660" w:type="dxa"/>
          </w:tcPr>
          <w:p w:rsidR="00C42DAB" w:rsidRPr="003D6933" w:rsidRDefault="00C42DAB" w:rsidP="003D6933">
            <w:pPr>
              <w:pStyle w:val="Body"/>
              <w:suppressAutoHyphens w:val="0"/>
              <w:spacing w:line="240" w:lineRule="auto"/>
              <w:jc w:val="left"/>
              <w:rPr>
                <w:i/>
                <w:lang w:val="en-US"/>
              </w:rPr>
            </w:pPr>
            <w:r w:rsidRPr="003D6933">
              <w:rPr>
                <w:i/>
                <w:lang w:val="en-US"/>
              </w:rPr>
              <w:t>Assessing the EFP approach</w:t>
            </w:r>
          </w:p>
          <w:p w:rsidR="00C42DAB" w:rsidRPr="003D6933" w:rsidRDefault="00C42DAB" w:rsidP="003D6933">
            <w:pPr>
              <w:pStyle w:val="Body"/>
              <w:suppressAutoHyphens w:val="0"/>
              <w:spacing w:line="240" w:lineRule="auto"/>
              <w:jc w:val="left"/>
              <w:rPr>
                <w:i/>
                <w:lang w:val="en-US"/>
              </w:rPr>
            </w:pPr>
            <w:r w:rsidRPr="003D6933">
              <w:rPr>
                <w:i/>
                <w:lang w:val="en-US"/>
              </w:rPr>
              <w:t>to provide foresight information to policy makers and practitioners</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How to reach policy makers?</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Gather knowledge about the policy maker as a client</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Customizing policy support</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rPr>
                <w:lang w:val="en-US"/>
              </w:rPr>
            </w:pPr>
            <w:bookmarkStart w:id="0" w:name="_GoBack"/>
            <w:bookmarkEnd w:id="0"/>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i/>
                <w:lang w:val="en-US"/>
              </w:rPr>
            </w:pPr>
            <w:r w:rsidRPr="003D6933">
              <w:rPr>
                <w:i/>
                <w:lang w:val="en-US"/>
              </w:rPr>
              <w:t>Keep it simple and short</w:t>
            </w:r>
          </w:p>
          <w:p w:rsidR="00C42DAB" w:rsidRPr="003D6933"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rPr>
                <w:i/>
                <w:lang w:val="en-US"/>
              </w:rPr>
            </w:pPr>
          </w:p>
          <w:p w:rsidR="00C42DAB"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rPr>
                <w:i/>
                <w:lang w:val="en-US"/>
              </w:rPr>
            </w:pPr>
          </w:p>
          <w:p w:rsidR="00C42DAB" w:rsidRDefault="00C42DAB" w:rsidP="003D6933">
            <w:pPr>
              <w:pStyle w:val="Body"/>
              <w:suppressAutoHyphens w:val="0"/>
              <w:spacing w:line="240" w:lineRule="auto"/>
              <w:rPr>
                <w:i/>
                <w:lang w:val="en-US"/>
              </w:rPr>
            </w:pPr>
          </w:p>
          <w:p w:rsidR="00C42DAB" w:rsidRDefault="00C42DAB" w:rsidP="003D6933">
            <w:pPr>
              <w:pStyle w:val="Body"/>
              <w:suppressAutoHyphens w:val="0"/>
              <w:spacing w:line="240" w:lineRule="auto"/>
              <w:rPr>
                <w:i/>
                <w:lang w:val="en-US"/>
              </w:rPr>
            </w:pPr>
          </w:p>
          <w:p w:rsidR="00C42DAB"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Managing a delicate balance</w:t>
            </w:r>
          </w:p>
          <w:p w:rsidR="00C42DAB" w:rsidRPr="003D6933"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rPr>
                <w:i/>
                <w:lang w:val="en-US"/>
              </w:rPr>
            </w:pPr>
          </w:p>
          <w:p w:rsidR="00C42DAB" w:rsidRPr="003D6933" w:rsidRDefault="00C42DAB" w:rsidP="003D6933">
            <w:pPr>
              <w:pStyle w:val="Body"/>
              <w:suppressAutoHyphens w:val="0"/>
              <w:spacing w:line="240" w:lineRule="auto"/>
              <w:rPr>
                <w:lang w:val="en-US"/>
              </w:rPr>
            </w:pPr>
          </w:p>
        </w:tc>
        <w:tc>
          <w:tcPr>
            <w:tcW w:w="6628" w:type="dxa"/>
          </w:tcPr>
          <w:p w:rsidR="00C42DAB" w:rsidRPr="003D6933" w:rsidRDefault="00C42DAB" w:rsidP="003D6933">
            <w:pPr>
              <w:pStyle w:val="Body"/>
              <w:suppressAutoHyphens w:val="0"/>
              <w:spacing w:line="240" w:lineRule="auto"/>
              <w:rPr>
                <w:lang w:val="en-US"/>
              </w:rPr>
            </w:pPr>
            <w:r w:rsidRPr="003D6933">
              <w:rPr>
                <w:lang w:val="en-US"/>
              </w:rPr>
              <w:t xml:space="preserve">The purpose of the EFP Review Meeting was to </w:t>
            </w:r>
            <w:r>
              <w:rPr>
                <w:lang w:val="en-US"/>
              </w:rPr>
              <w:t>discuss</w:t>
            </w:r>
            <w:r w:rsidRPr="003D6933">
              <w:rPr>
                <w:lang w:val="en-US"/>
              </w:rPr>
              <w:t xml:space="preserve"> the methodological approach </w:t>
            </w:r>
            <w:r>
              <w:rPr>
                <w:lang w:val="en-US"/>
              </w:rPr>
              <w:t xml:space="preserve">of EFP in </w:t>
            </w:r>
            <w:r w:rsidRPr="003D6933">
              <w:rPr>
                <w:lang w:val="en-US"/>
              </w:rPr>
              <w:t>provid</w:t>
            </w:r>
            <w:r>
              <w:rPr>
                <w:lang w:val="en-US"/>
              </w:rPr>
              <w:t>ing</w:t>
            </w:r>
            <w:r w:rsidRPr="003D6933">
              <w:rPr>
                <w:lang w:val="en-US"/>
              </w:rPr>
              <w:t xml:space="preserve"> foresight information and support to policy makers and practitioners. In addition, the aim </w:t>
            </w:r>
            <w:r>
              <w:rPr>
                <w:lang w:val="en-US"/>
              </w:rPr>
              <w:t>wa</w:t>
            </w:r>
            <w:r w:rsidRPr="003D6933">
              <w:rPr>
                <w:lang w:val="en-US"/>
              </w:rPr>
              <w:t xml:space="preserve">s to refine the </w:t>
            </w:r>
            <w:r>
              <w:rPr>
                <w:lang w:val="en-US"/>
              </w:rPr>
              <w:t xml:space="preserve">various </w:t>
            </w:r>
            <w:r w:rsidRPr="003D6933">
              <w:rPr>
                <w:lang w:val="en-US"/>
              </w:rPr>
              <w:t xml:space="preserve">policy support approaches and </w:t>
            </w:r>
            <w:r>
              <w:rPr>
                <w:lang w:val="en-US"/>
              </w:rPr>
              <w:t>to review</w:t>
            </w:r>
            <w:r w:rsidRPr="003D6933">
              <w:rPr>
                <w:lang w:val="en-US"/>
              </w:rPr>
              <w:t xml:space="preserve"> the first policy workshops</w:t>
            </w:r>
            <w:r>
              <w:rPr>
                <w:lang w:val="en-US"/>
              </w:rPr>
              <w:t xml:space="preserve"> in order to draw conclusions for the subsequent implementation</w:t>
            </w:r>
            <w:r w:rsidRPr="003D6933">
              <w:rPr>
                <w:lang w:val="en-US"/>
              </w:rPr>
              <w:t>.</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One of the central questions in the discussion about the EFP approach was: How to reach the audience of policy makers in a way that </w:t>
            </w:r>
            <w:r>
              <w:rPr>
                <w:lang w:val="en-US"/>
              </w:rPr>
              <w:t>forward looking activities (</w:t>
            </w:r>
            <w:smartTag w:uri="urn:schemas-microsoft-com:office:smarttags" w:element="place">
              <w:r>
                <w:rPr>
                  <w:lang w:val="en-US"/>
                </w:rPr>
                <w:t>FLA</w:t>
              </w:r>
            </w:smartTag>
            <w:r>
              <w:rPr>
                <w:lang w:val="en-US"/>
              </w:rPr>
              <w:t>)</w:t>
            </w:r>
            <w:r w:rsidRPr="003D6933">
              <w:rPr>
                <w:lang w:val="en-US"/>
              </w:rPr>
              <w:t xml:space="preserve"> have an effect? There seem to be two sides o</w:t>
            </w:r>
            <w:r>
              <w:rPr>
                <w:lang w:val="en-US"/>
              </w:rPr>
              <w:t>f the medal: Either to make FLA</w:t>
            </w:r>
            <w:r w:rsidRPr="003D6933">
              <w:rPr>
                <w:lang w:val="en-US"/>
              </w:rPr>
              <w:t xml:space="preserve"> and its outcomes more appropriate to policy makers and design them compatible to the existing policy structures assuming that there is sufficient absorptive (or receptive) capacity on the side of the policy makers; or to train the absorptive capacities of the policy makers for </w:t>
            </w:r>
            <w:r>
              <w:rPr>
                <w:lang w:val="en-US"/>
              </w:rPr>
              <w:t xml:space="preserve">integrating </w:t>
            </w:r>
            <w:r w:rsidRPr="003D6933">
              <w:rPr>
                <w:lang w:val="en-US"/>
              </w:rPr>
              <w:t>FLA</w:t>
            </w:r>
            <w:r>
              <w:rPr>
                <w:lang w:val="en-US"/>
              </w:rPr>
              <w:t xml:space="preserve"> knowledge </w:t>
            </w:r>
            <w:r w:rsidRPr="003D6933">
              <w:rPr>
                <w:lang w:val="en-US"/>
              </w:rPr>
              <w:t>and the respective outputs</w:t>
            </w:r>
            <w:r>
              <w:rPr>
                <w:lang w:val="en-US"/>
              </w:rPr>
              <w:t xml:space="preserve"> into the decision making </w:t>
            </w:r>
            <w:r w:rsidRPr="003D6933">
              <w:rPr>
                <w:lang w:val="en-US"/>
              </w:rPr>
              <w:t>process</w:t>
            </w:r>
            <w:r>
              <w:rPr>
                <w:lang w:val="en-US"/>
              </w:rPr>
              <w:t xml:space="preserve"> and policy options</w:t>
            </w:r>
            <w:r w:rsidRPr="003D6933">
              <w:rPr>
                <w:lang w:val="en-US"/>
              </w:rPr>
              <w:t>. Both approaches have t</w:t>
            </w:r>
            <w:r>
              <w:rPr>
                <w:lang w:val="en-US"/>
              </w:rPr>
              <w:t xml:space="preserve">o come together in the end. </w:t>
            </w:r>
            <w:smartTag w:uri="urn:schemas-microsoft-com:office:smarttags" w:element="place">
              <w:r>
                <w:rPr>
                  <w:lang w:val="en-US"/>
                </w:rPr>
                <w:t>FLA</w:t>
              </w:r>
            </w:smartTag>
            <w:r w:rsidRPr="003D6933">
              <w:rPr>
                <w:lang w:val="en-US"/>
              </w:rPr>
              <w:t xml:space="preserve"> can only have an impact if their design takes into account the existing policy structures and the way the policy makers think and act. Certain regulatory constraints and procedures cannot be overcome by </w:t>
            </w:r>
            <w:smartTag w:uri="urn:schemas-microsoft-com:office:smarttags" w:element="place">
              <w:r w:rsidRPr="003D6933">
                <w:rPr>
                  <w:lang w:val="en-US"/>
                </w:rPr>
                <w:t>FLA</w:t>
              </w:r>
            </w:smartTag>
            <w:r>
              <w:rPr>
                <w:lang w:val="en-US"/>
              </w:rPr>
              <w:t xml:space="preserve"> recommendations.</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Related to this is the question who are the decision makers and who are the policy makers? The different target groups ask for different messages. Policy makers are not necessarily the same as decision makers. It is i</w:t>
            </w:r>
            <w:r>
              <w:rPr>
                <w:lang w:val="en-US"/>
              </w:rPr>
              <w:t xml:space="preserve">mportant to understand that </w:t>
            </w:r>
            <w:smartTag w:uri="urn:schemas-microsoft-com:office:smarttags" w:element="place">
              <w:r>
                <w:rPr>
                  <w:lang w:val="en-US"/>
                </w:rPr>
                <w:t>FLA</w:t>
              </w:r>
            </w:smartTag>
            <w:r w:rsidRPr="003D6933">
              <w:rPr>
                <w:lang w:val="en-US"/>
              </w:rPr>
              <w:t xml:space="preserve"> provide input for the policy making </w:t>
            </w:r>
            <w:r w:rsidRPr="003D6933">
              <w:rPr>
                <w:i/>
                <w:lang w:val="en-US"/>
              </w:rPr>
              <w:t xml:space="preserve">process </w:t>
            </w:r>
            <w:r w:rsidRPr="003D6933">
              <w:rPr>
                <w:lang w:val="en-US"/>
              </w:rPr>
              <w:t>and not fo</w:t>
            </w:r>
            <w:r>
              <w:rPr>
                <w:lang w:val="en-US"/>
              </w:rPr>
              <w:t>r the policy makers themselves.</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This is not to say tha</w:t>
            </w:r>
            <w:r>
              <w:rPr>
                <w:lang w:val="en-US"/>
              </w:rPr>
              <w:t xml:space="preserve">t </w:t>
            </w:r>
            <w:smartTag w:uri="urn:schemas-microsoft-com:office:smarttags" w:element="place">
              <w:r>
                <w:rPr>
                  <w:lang w:val="en-US"/>
                </w:rPr>
                <w:t>FLA</w:t>
              </w:r>
            </w:smartTag>
            <w:r w:rsidRPr="003D6933">
              <w:rPr>
                <w:lang w:val="en-US"/>
              </w:rPr>
              <w:t xml:space="preserve"> have to be in line with the ruling terms of g</w:t>
            </w:r>
            <w:r>
              <w:rPr>
                <w:lang w:val="en-US"/>
              </w:rPr>
              <w:t xml:space="preserve">overnance. On the contrary, </w:t>
            </w:r>
            <w:smartTag w:uri="urn:schemas-microsoft-com:office:smarttags" w:element="place">
              <w:r>
                <w:rPr>
                  <w:lang w:val="en-US"/>
                </w:rPr>
                <w:t>FLA</w:t>
              </w:r>
            </w:smartTag>
            <w:r w:rsidRPr="003D6933">
              <w:rPr>
                <w:lang w:val="en-US"/>
              </w:rPr>
              <w:t xml:space="preserve"> are only relevant if they have some innovative potential and if they dare to call into question the existing s</w:t>
            </w:r>
            <w:r>
              <w:rPr>
                <w:lang w:val="en-US"/>
              </w:rPr>
              <w:t xml:space="preserve">tructures. In this respect, </w:t>
            </w:r>
            <w:smartTag w:uri="urn:schemas-microsoft-com:office:smarttags" w:element="place">
              <w:r>
                <w:rPr>
                  <w:lang w:val="en-US"/>
                </w:rPr>
                <w:t>FLA</w:t>
              </w:r>
            </w:smartTag>
            <w:r w:rsidRPr="003D6933">
              <w:rPr>
                <w:lang w:val="en-US"/>
              </w:rPr>
              <w:t xml:space="preserve"> are not only about generating new insights into the future of research and scientific development but in confronting and exchanging different aspects of certain scenarios.</w:t>
            </w:r>
            <w:r>
              <w:rPr>
                <w:lang w:val="en-US"/>
              </w:rPr>
              <w:t xml:space="preserve"> Where can </w:t>
            </w:r>
            <w:smartTag w:uri="urn:schemas-microsoft-com:office:smarttags" w:element="place">
              <w:r>
                <w:rPr>
                  <w:lang w:val="en-US"/>
                </w:rPr>
                <w:t>FLA</w:t>
              </w:r>
            </w:smartTag>
            <w:r>
              <w:rPr>
                <w:lang w:val="en-US"/>
              </w:rPr>
              <w:t xml:space="preserve"> really add value to policy debate?</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Nonetheless, the in-depth knowledge about the policy maker as a client supposes sufficient insights of the people, structures and procedures which can onl</w:t>
            </w:r>
            <w:r>
              <w:rPr>
                <w:lang w:val="en-US"/>
              </w:rPr>
              <w:t>y be achieved by studying them.</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At the same token we have to distinguish different levels and different roles of policy makers. We find policy makers in very different organisations. Besides, in some countries it is suitable to have champions speaking out for hot topics that are treated in an </w:t>
            </w:r>
            <w:smartTag w:uri="urn:schemas-microsoft-com:office:smarttags" w:element="place">
              <w:r w:rsidRPr="003D6933">
                <w:rPr>
                  <w:lang w:val="en-US"/>
                </w:rPr>
                <w:t>FLA</w:t>
              </w:r>
            </w:smartTag>
            <w:r w:rsidRPr="003D6933">
              <w:rPr>
                <w:lang w:val="en-US"/>
              </w:rPr>
              <w:t xml:space="preserve">, in other policy traditions this is counterproductive. There are policy makers who are drafting policies; </w:t>
            </w:r>
            <w:r>
              <w:rPr>
                <w:lang w:val="en-US"/>
              </w:rPr>
              <w:t xml:space="preserve">(senior) </w:t>
            </w:r>
            <w:r w:rsidRPr="003D6933">
              <w:rPr>
                <w:lang w:val="en-US"/>
              </w:rPr>
              <w:t xml:space="preserve">policy makers who need to be consulted </w:t>
            </w:r>
            <w:r>
              <w:rPr>
                <w:lang w:val="en-US"/>
              </w:rPr>
              <w:t xml:space="preserve">on </w:t>
            </w:r>
            <w:r w:rsidRPr="003D6933">
              <w:rPr>
                <w:lang w:val="en-US"/>
              </w:rPr>
              <w:t>how to formulate the visions; and there are policy makers who implement</w:t>
            </w:r>
            <w:r>
              <w:rPr>
                <w:lang w:val="en-US"/>
              </w:rPr>
              <w:t xml:space="preserve"> the</w:t>
            </w:r>
            <w:r w:rsidRPr="003D6933">
              <w:rPr>
                <w:lang w:val="en-US"/>
              </w:rPr>
              <w:t xml:space="preserve"> polic</w:t>
            </w:r>
            <w:r>
              <w:rPr>
                <w:lang w:val="en-US"/>
              </w:rPr>
              <w:t>y strategies</w:t>
            </w:r>
            <w:r w:rsidRPr="003D6933">
              <w:rPr>
                <w:lang w:val="en-US"/>
              </w:rPr>
              <w:t>, and some of them also have influence on drafting the policies. Others, however</w:t>
            </w:r>
            <w:r>
              <w:rPr>
                <w:lang w:val="en-US"/>
              </w:rPr>
              <w:t>,</w:t>
            </w:r>
            <w:r w:rsidRPr="003D6933">
              <w:rPr>
                <w:lang w:val="en-US"/>
              </w:rPr>
              <w:t xml:space="preserve"> might not want to take over responsibilities for changes. At times, they see themselves as providing input for the policy making process, not policy making itself. </w:t>
            </w:r>
            <w:r>
              <w:rPr>
                <w:lang w:val="en-US"/>
              </w:rPr>
              <w:t>Therefore, some policy makers should rather be called policy shapers to lighten their perceived burden.</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Experience with transferring foresight results into policy making shows that many policy makers have a preference for converging ideas. They want only to have a few messages they can work with instead of many different diverging ones. This helps them to be on the safe side. But </w:t>
            </w:r>
            <w:r>
              <w:rPr>
                <w:lang w:val="en-US"/>
              </w:rPr>
              <w:t>how should the policy framework be formed to handle with fragmented or even diverging views on societal concerns? F</w:t>
            </w:r>
            <w:r w:rsidRPr="003D6933">
              <w:rPr>
                <w:lang w:val="en-US"/>
              </w:rPr>
              <w:t xml:space="preserve">oresight or </w:t>
            </w:r>
            <w:smartTag w:uri="urn:schemas-microsoft-com:office:smarttags" w:element="place">
              <w:r w:rsidRPr="003D6933">
                <w:rPr>
                  <w:lang w:val="en-US"/>
                </w:rPr>
                <w:t>FLA</w:t>
              </w:r>
            </w:smartTag>
            <w:r w:rsidRPr="003D6933">
              <w:rPr>
                <w:lang w:val="en-US"/>
              </w:rPr>
              <w:t xml:space="preserve"> practitioners want to provide new inputs of course and not repeat well known things. So it will be important to clear the objectives with the client always at the beginning and to find a common language, identify the hidden agenda</w:t>
            </w:r>
            <w:r>
              <w:rPr>
                <w:lang w:val="en-US"/>
              </w:rPr>
              <w:t>,</w:t>
            </w:r>
            <w:r w:rsidRPr="003D6933">
              <w:rPr>
                <w:lang w:val="en-US"/>
              </w:rPr>
              <w:t xml:space="preserve"> manage the delicate balance between whatever is feasible and what is revolutionary</w:t>
            </w:r>
            <w:r>
              <w:rPr>
                <w:lang w:val="en-US"/>
              </w:rPr>
              <w:t>, and to make use of the convincing power of messages</w:t>
            </w:r>
            <w:r w:rsidRPr="003D6933">
              <w:rPr>
                <w:lang w:val="en-US"/>
              </w:rPr>
              <w:t xml:space="preserve">. These points could find more prominence in the EFP </w:t>
            </w:r>
            <w:r>
              <w:rPr>
                <w:lang w:val="en-US"/>
              </w:rPr>
              <w:t>Manual for Policy Support</w:t>
            </w:r>
            <w:r w:rsidRPr="003D6933">
              <w:rPr>
                <w:lang w:val="en-US"/>
              </w:rPr>
              <w:t xml:space="preserve"> </w:t>
            </w:r>
            <w:r>
              <w:rPr>
                <w:lang w:val="en-US"/>
              </w:rPr>
              <w:t>presented</w:t>
            </w:r>
            <w:r w:rsidRPr="003D6933">
              <w:rPr>
                <w:lang w:val="en-US"/>
              </w:rPr>
              <w:t xml:space="preserve"> and where </w:t>
            </w:r>
            <w:r>
              <w:rPr>
                <w:lang w:val="en-US"/>
              </w:rPr>
              <w:t>t</w:t>
            </w:r>
            <w:r w:rsidRPr="003D6933">
              <w:rPr>
                <w:lang w:val="en-US"/>
              </w:rPr>
              <w:t xml:space="preserve">he three different approaches </w:t>
            </w:r>
            <w:r>
              <w:rPr>
                <w:lang w:val="en-US"/>
              </w:rPr>
              <w:t>should be</w:t>
            </w:r>
            <w:r w:rsidRPr="003D6933">
              <w:rPr>
                <w:lang w:val="en-US"/>
              </w:rPr>
              <w:t xml:space="preserve"> distinguishe</w:t>
            </w:r>
            <w:r>
              <w:rPr>
                <w:lang w:val="en-US"/>
              </w:rPr>
              <w:t>d</w:t>
            </w:r>
            <w:r w:rsidRPr="003D6933">
              <w:rPr>
                <w:lang w:val="en-US"/>
              </w:rPr>
              <w:t xml:space="preserve">. For example, for policy makers, good practice and success cases </w:t>
            </w:r>
            <w:r>
              <w:rPr>
                <w:lang w:val="en-US"/>
              </w:rPr>
              <w:t>could be</w:t>
            </w:r>
            <w:r w:rsidRPr="003D6933">
              <w:rPr>
                <w:lang w:val="en-US"/>
              </w:rPr>
              <w:t xml:space="preserve"> useful</w:t>
            </w:r>
            <w:r>
              <w:rPr>
                <w:lang w:val="en-US"/>
              </w:rPr>
              <w:t>, while</w:t>
            </w:r>
            <w:r w:rsidRPr="003D6933">
              <w:rPr>
                <w:lang w:val="en-US"/>
              </w:rPr>
              <w:t xml:space="preserve"> newcomers </w:t>
            </w:r>
            <w:r>
              <w:rPr>
                <w:lang w:val="en-US"/>
              </w:rPr>
              <w:t xml:space="preserve">might </w:t>
            </w:r>
            <w:r w:rsidRPr="003D6933">
              <w:rPr>
                <w:lang w:val="en-US"/>
              </w:rPr>
              <w:t>need more training on how foresight works and how to exploit the results.</w:t>
            </w:r>
          </w:p>
          <w:p w:rsidR="00C42DAB" w:rsidRPr="003D6933" w:rsidRDefault="00C42DAB" w:rsidP="003D6933">
            <w:pPr>
              <w:pStyle w:val="Body"/>
              <w:suppressAutoHyphens w:val="0"/>
              <w:spacing w:line="240" w:lineRule="auto"/>
              <w:rPr>
                <w:lang w:val="en-US"/>
              </w:rPr>
            </w:pPr>
          </w:p>
        </w:tc>
      </w:tr>
      <w:tr w:rsidR="00C42DAB" w:rsidRPr="009C6CC3" w:rsidTr="003D6933">
        <w:tc>
          <w:tcPr>
            <w:tcW w:w="2660" w:type="dxa"/>
          </w:tcPr>
          <w:p w:rsidR="00C42DAB" w:rsidRPr="003D6933" w:rsidRDefault="00C42DAB" w:rsidP="003D6933">
            <w:pPr>
              <w:pStyle w:val="Body"/>
              <w:suppressAutoHyphens w:val="0"/>
              <w:spacing w:line="240" w:lineRule="auto"/>
              <w:jc w:val="left"/>
              <w:rPr>
                <w:i/>
                <w:lang w:val="en-US"/>
              </w:rPr>
            </w:pPr>
            <w:r w:rsidRPr="003D6933">
              <w:rPr>
                <w:i/>
                <w:lang w:val="en-US"/>
              </w:rPr>
              <w:t>Raising awareness for foresight issues</w:t>
            </w:r>
          </w:p>
          <w:p w:rsidR="00C42DAB" w:rsidRPr="003D6933" w:rsidRDefault="00C42DAB" w:rsidP="003D6933">
            <w:pPr>
              <w:pStyle w:val="Body"/>
              <w:suppressAutoHyphens w:val="0"/>
              <w:spacing w:line="240" w:lineRule="auto"/>
              <w:rPr>
                <w:lang w:val="en-US"/>
              </w:rPr>
            </w:pPr>
          </w:p>
        </w:tc>
        <w:tc>
          <w:tcPr>
            <w:tcW w:w="6628" w:type="dxa"/>
          </w:tcPr>
          <w:p w:rsidR="00C42DAB" w:rsidRPr="003D6933" w:rsidRDefault="00C42DAB" w:rsidP="003D6933">
            <w:pPr>
              <w:pStyle w:val="Body"/>
              <w:suppressAutoHyphens w:val="0"/>
              <w:spacing w:line="240" w:lineRule="auto"/>
              <w:rPr>
                <w:lang w:val="en-US"/>
              </w:rPr>
            </w:pPr>
            <w:r w:rsidRPr="003D6933">
              <w:rPr>
                <w:lang w:val="en-US"/>
              </w:rPr>
              <w:t xml:space="preserve">In order to increase the awareness of policy makers for foresight and to raise interest in </w:t>
            </w:r>
            <w:smartTag w:uri="urn:schemas-microsoft-com:office:smarttags" w:element="place">
              <w:r w:rsidRPr="003D6933">
                <w:rPr>
                  <w:lang w:val="en-US"/>
                </w:rPr>
                <w:t>FLA</w:t>
              </w:r>
            </w:smartTag>
            <w:r w:rsidRPr="003D6933">
              <w:rPr>
                <w:lang w:val="en-US"/>
              </w:rPr>
              <w:t xml:space="preserve"> results experience from </w:t>
            </w:r>
            <w:smartTag w:uri="urn:schemas-microsoft-com:office:smarttags" w:element="place">
              <w:r w:rsidRPr="003D6933">
                <w:rPr>
                  <w:lang w:val="en-US"/>
                </w:rPr>
                <w:t>Canada</w:t>
              </w:r>
            </w:smartTag>
            <w:r w:rsidRPr="003D6933">
              <w:rPr>
                <w:lang w:val="en-US"/>
              </w:rPr>
              <w:t xml:space="preserve"> shows that the “sell to the pain”-market approach is quite successful where the most painful statements are formulated and solutions discussed. At the same time, it is important for </w:t>
            </w:r>
            <w:smartTag w:uri="urn:schemas-microsoft-com:office:smarttags" w:element="place">
              <w:r w:rsidRPr="003D6933">
                <w:rPr>
                  <w:lang w:val="en-US"/>
                </w:rPr>
                <w:t>FLA</w:t>
              </w:r>
            </w:smartTag>
            <w:r w:rsidRPr="003D6933">
              <w:rPr>
                <w:lang w:val="en-US"/>
              </w:rPr>
              <w:t xml:space="preserve"> projects and outcomes to have an appealing website and have policy makers look at it.</w:t>
            </w:r>
          </w:p>
          <w:p w:rsidR="00C42DAB" w:rsidRPr="003D6933" w:rsidRDefault="00C42DAB" w:rsidP="003D6933">
            <w:pPr>
              <w:pStyle w:val="Body"/>
              <w:suppressAutoHyphens w:val="0"/>
              <w:spacing w:line="240" w:lineRule="auto"/>
              <w:rPr>
                <w:lang w:val="en-US"/>
              </w:rPr>
            </w:pPr>
          </w:p>
        </w:tc>
      </w:tr>
      <w:tr w:rsidR="00C42DAB" w:rsidRPr="009C6CC3" w:rsidTr="003D6933">
        <w:tc>
          <w:tcPr>
            <w:tcW w:w="2660" w:type="dxa"/>
          </w:tcPr>
          <w:p w:rsidR="00C42DAB" w:rsidRPr="003D6933" w:rsidRDefault="00C42DAB" w:rsidP="003D6933">
            <w:pPr>
              <w:pStyle w:val="Body"/>
              <w:suppressAutoHyphens w:val="0"/>
              <w:spacing w:line="240" w:lineRule="auto"/>
              <w:jc w:val="left"/>
              <w:rPr>
                <w:i/>
                <w:lang w:val="en-US"/>
              </w:rPr>
            </w:pPr>
            <w:r w:rsidRPr="003D6933">
              <w:rPr>
                <w:i/>
                <w:lang w:val="en-US"/>
              </w:rPr>
              <w:t>How can EFP have an effect on policy making?</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Connecting the different parts of policy making</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Identify knowledge gaps</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Leverage effect on national strategies</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lang w:val="en-US"/>
              </w:rPr>
            </w:pPr>
          </w:p>
        </w:tc>
        <w:tc>
          <w:tcPr>
            <w:tcW w:w="6628" w:type="dxa"/>
          </w:tcPr>
          <w:p w:rsidR="00C42DAB" w:rsidRPr="003D6933" w:rsidRDefault="00C42DAB" w:rsidP="003D6933">
            <w:pPr>
              <w:pStyle w:val="Body"/>
              <w:suppressAutoHyphens w:val="0"/>
              <w:spacing w:line="240" w:lineRule="auto"/>
              <w:rPr>
                <w:lang w:val="en-US"/>
              </w:rPr>
            </w:pPr>
            <w:r w:rsidRPr="003D6933">
              <w:rPr>
                <w:lang w:val="en-US"/>
              </w:rPr>
              <w:t>Some participants asked “</w:t>
            </w:r>
            <w:r>
              <w:rPr>
                <w:lang w:val="en-US"/>
              </w:rPr>
              <w:t>w</w:t>
            </w:r>
            <w:r w:rsidRPr="003D6933">
              <w:rPr>
                <w:lang w:val="en-US"/>
              </w:rPr>
              <w:t xml:space="preserve">hat </w:t>
            </w:r>
            <w:r>
              <w:rPr>
                <w:lang w:val="en-US"/>
              </w:rPr>
              <w:t xml:space="preserve">can be the effects of </w:t>
            </w:r>
            <w:smartTag w:uri="urn:schemas-microsoft-com:office:smarttags" w:element="place">
              <w:r>
                <w:rPr>
                  <w:lang w:val="en-US"/>
                </w:rPr>
                <w:t>FLA</w:t>
              </w:r>
            </w:smartTag>
            <w:r w:rsidRPr="003D6933">
              <w:rPr>
                <w:lang w:val="en-US"/>
              </w:rPr>
              <w:t xml:space="preserve"> and policy </w:t>
            </w:r>
            <w:r>
              <w:rPr>
                <w:lang w:val="en-US"/>
              </w:rPr>
              <w:t xml:space="preserve">workshops in the context of </w:t>
            </w:r>
            <w:smartTag w:uri="urn:schemas-microsoft-com:office:smarttags" w:element="place">
              <w:r>
                <w:rPr>
                  <w:lang w:val="en-US"/>
                </w:rPr>
                <w:t>FLA</w:t>
              </w:r>
            </w:smartTag>
            <w:r w:rsidRPr="003D6933">
              <w:rPr>
                <w:lang w:val="en-US"/>
              </w:rPr>
              <w:t>”? Besides providing a common knowledge base to the stakeholders</w:t>
            </w:r>
            <w:r>
              <w:rPr>
                <w:lang w:val="en-US"/>
              </w:rPr>
              <w:t>,</w:t>
            </w:r>
            <w:r w:rsidRPr="003D6933">
              <w:rPr>
                <w:lang w:val="en-US"/>
              </w:rPr>
              <w:t xml:space="preserve"> one very important function of </w:t>
            </w:r>
            <w:smartTag w:uri="urn:schemas-microsoft-com:office:smarttags" w:element="place">
              <w:r w:rsidRPr="003D6933">
                <w:rPr>
                  <w:lang w:val="en-US"/>
                </w:rPr>
                <w:t>FLA</w:t>
              </w:r>
            </w:smartTag>
            <w:r w:rsidRPr="003D6933">
              <w:rPr>
                <w:lang w:val="en-US"/>
              </w:rPr>
              <w:t xml:space="preserve"> and related policy workshops are that different aspects of the same matter are introduced. This way, not only are new insights presented but also connected to each other. This strategy makes clear how large the scope of policy issues actually has to be to deal with </w:t>
            </w:r>
            <w:r>
              <w:rPr>
                <w:lang w:val="en-US"/>
              </w:rPr>
              <w:t xml:space="preserve">specific future challenges. </w:t>
            </w:r>
            <w:smartTag w:uri="urn:schemas-microsoft-com:office:smarttags" w:element="place">
              <w:r>
                <w:rPr>
                  <w:lang w:val="en-US"/>
                </w:rPr>
                <w:t>FLA</w:t>
              </w:r>
            </w:smartTag>
            <w:r w:rsidRPr="003D6933">
              <w:rPr>
                <w:lang w:val="en-US"/>
              </w:rPr>
              <w:t xml:space="preserve"> will in most cases not generate new knowledge on technologies, rather on the options of governance for such issues and their consequences. Learning from good practice should be promoted not only on websites but for example in academic journals and other media. For the depiction of the content, this includes the coverage and analysis of conditions under which foresight results have been taken on board by policy makers. This then raises the question: can similar success cases be constructed by shaping the conditions accordingly?</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Especially for the EFP to have an impact it is necessary to understand the policies around EIP. The content is not the point but the interlinkage of the different parts attached to the core topic – including the key players and their interests, linking the links to the policy is crucial for the impact. At the same token, EFP can help to identify the gaps, as </w:t>
            </w:r>
            <w:r>
              <w:rPr>
                <w:lang w:val="en-US"/>
              </w:rPr>
              <w:t xml:space="preserve">was the case </w:t>
            </w:r>
            <w:r w:rsidRPr="003D6933">
              <w:rPr>
                <w:lang w:val="en-US"/>
              </w:rPr>
              <w:t>for example in the P</w:t>
            </w:r>
            <w:r>
              <w:rPr>
                <w:lang w:val="en-US"/>
              </w:rPr>
              <w:t>olicy Workshop on Urban Europe.</w:t>
            </w:r>
          </w:p>
          <w:p w:rsidR="00C42DAB" w:rsidRPr="003D6933" w:rsidRDefault="00C42DAB" w:rsidP="003D6933">
            <w:pPr>
              <w:pStyle w:val="Body"/>
              <w:suppressAutoHyphens w:val="0"/>
              <w:spacing w:line="240" w:lineRule="auto"/>
              <w:rPr>
                <w:lang w:val="en-US"/>
              </w:rPr>
            </w:pPr>
            <w:r w:rsidRPr="003D6933">
              <w:rPr>
                <w:lang w:val="en-US"/>
              </w:rPr>
              <w:t xml:space="preserve">Spreading such results will also have some effect on the national policy agendas. European strategies often serve as leverage to the national activities. Participants from the own country at European level events can serve as anchors and facilitators to transfer strategic knowledge and awareness to the national authorities. For example, </w:t>
            </w:r>
            <w:smartTag w:uri="urn:schemas-microsoft-com:office:smarttags" w:element="place">
              <w:r w:rsidRPr="003D6933">
                <w:rPr>
                  <w:lang w:val="en-US"/>
                </w:rPr>
                <w:t>Malta</w:t>
              </w:r>
            </w:smartTag>
            <w:r w:rsidRPr="003D6933">
              <w:rPr>
                <w:lang w:val="en-US"/>
              </w:rPr>
              <w:t xml:space="preserve"> is now starting an initiative on urban issues.</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At EU level, EIP was perceived as a p</w:t>
            </w:r>
            <w:r>
              <w:rPr>
                <w:lang w:val="en-US"/>
              </w:rPr>
              <w:t>aradigm</w:t>
            </w:r>
            <w:r w:rsidRPr="003D6933">
              <w:rPr>
                <w:lang w:val="en-US"/>
              </w:rPr>
              <w:t xml:space="preserve"> shift</w:t>
            </w:r>
            <w:r>
              <w:rPr>
                <w:lang w:val="en-US"/>
              </w:rPr>
              <w:t xml:space="preserve"> to bring together various knowledge triangle members to tackle societal challenges</w:t>
            </w:r>
            <w:r w:rsidRPr="003D6933">
              <w:rPr>
                <w:lang w:val="en-US"/>
              </w:rPr>
              <w:t>. EFP workshop results should be fed into the discussions at the EC</w:t>
            </w:r>
            <w:r>
              <w:rPr>
                <w:lang w:val="en-US"/>
              </w:rPr>
              <w:t xml:space="preserve"> level</w:t>
            </w:r>
            <w:r w:rsidRPr="003D6933">
              <w:rPr>
                <w:lang w:val="en-US"/>
              </w:rPr>
              <w:t xml:space="preserve"> because the actors there could take a great interest in outputs, for example of Urban Europe.</w:t>
            </w:r>
          </w:p>
          <w:p w:rsidR="00C42DAB" w:rsidRPr="003D6933" w:rsidRDefault="00C42DAB" w:rsidP="003D6933">
            <w:pPr>
              <w:pStyle w:val="Body"/>
              <w:suppressAutoHyphens w:val="0"/>
              <w:spacing w:line="240" w:lineRule="auto"/>
              <w:rPr>
                <w:lang w:val="en-US"/>
              </w:rPr>
            </w:pPr>
          </w:p>
        </w:tc>
      </w:tr>
      <w:tr w:rsidR="00C42DAB" w:rsidRPr="009C6CC3" w:rsidTr="003D6933">
        <w:tc>
          <w:tcPr>
            <w:tcW w:w="2660" w:type="dxa"/>
          </w:tcPr>
          <w:p w:rsidR="00C42DAB" w:rsidRPr="003D6933" w:rsidRDefault="00C42DAB" w:rsidP="003D6933">
            <w:pPr>
              <w:pStyle w:val="Body"/>
              <w:suppressAutoHyphens w:val="0"/>
              <w:spacing w:line="240" w:lineRule="auto"/>
              <w:jc w:val="left"/>
              <w:rPr>
                <w:i/>
                <w:lang w:val="en-US"/>
              </w:rPr>
            </w:pPr>
            <w:r w:rsidRPr="003D6933">
              <w:rPr>
                <w:i/>
                <w:lang w:val="en-US"/>
              </w:rPr>
              <w:t>Reaching out to society</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Linking foresight to innovation</w:t>
            </w: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p>
          <w:p w:rsidR="00C42DAB" w:rsidRPr="003D6933" w:rsidRDefault="00C42DAB" w:rsidP="003D6933">
            <w:pPr>
              <w:pStyle w:val="Body"/>
              <w:suppressAutoHyphens w:val="0"/>
              <w:spacing w:line="240" w:lineRule="auto"/>
              <w:jc w:val="left"/>
              <w:rPr>
                <w:i/>
                <w:lang w:val="en-US"/>
              </w:rPr>
            </w:pPr>
            <w:r w:rsidRPr="003D6933">
              <w:rPr>
                <w:i/>
                <w:lang w:val="en-US"/>
              </w:rPr>
              <w:t xml:space="preserve">Looking beyond </w:t>
            </w:r>
            <w:smartTag w:uri="urn:schemas-microsoft-com:office:smarttags" w:element="place">
              <w:r w:rsidRPr="003D6933">
                <w:rPr>
                  <w:i/>
                  <w:lang w:val="en-US"/>
                </w:rPr>
                <w:t>Europe</w:t>
              </w:r>
            </w:smartTag>
          </w:p>
          <w:p w:rsidR="00C42DAB" w:rsidRPr="003D6933" w:rsidRDefault="00C42DAB" w:rsidP="003D6933">
            <w:pPr>
              <w:pStyle w:val="Body"/>
              <w:suppressAutoHyphens w:val="0"/>
              <w:spacing w:line="240" w:lineRule="auto"/>
              <w:jc w:val="left"/>
              <w:rPr>
                <w:lang w:val="en-US"/>
              </w:rPr>
            </w:pPr>
          </w:p>
        </w:tc>
        <w:tc>
          <w:tcPr>
            <w:tcW w:w="6628" w:type="dxa"/>
          </w:tcPr>
          <w:p w:rsidR="00C42DAB" w:rsidRPr="003D6933" w:rsidRDefault="00C42DAB" w:rsidP="003D6933">
            <w:pPr>
              <w:pStyle w:val="Body"/>
              <w:suppressAutoHyphens w:val="0"/>
              <w:spacing w:line="240" w:lineRule="auto"/>
              <w:rPr>
                <w:lang w:val="en-US"/>
              </w:rPr>
            </w:pPr>
            <w:r w:rsidRPr="003D6933">
              <w:rPr>
                <w:lang w:val="en-US"/>
              </w:rPr>
              <w:t xml:space="preserve">Issues with large societal impact such as active and healthy aging should </w:t>
            </w:r>
            <w:r>
              <w:rPr>
                <w:lang w:val="en-US"/>
              </w:rPr>
              <w:t xml:space="preserve">even </w:t>
            </w:r>
            <w:r w:rsidRPr="003D6933">
              <w:rPr>
                <w:lang w:val="en-US"/>
              </w:rPr>
              <w:t xml:space="preserve">go beyond policy makers and address the society as a whole. </w:t>
            </w:r>
            <w:smartTag w:uri="urn:schemas-microsoft-com:office:smarttags" w:element="place">
              <w:r w:rsidRPr="003D6933">
                <w:rPr>
                  <w:lang w:val="en-US"/>
                </w:rPr>
                <w:t>FLA</w:t>
              </w:r>
            </w:smartTag>
            <w:r w:rsidRPr="003D6933">
              <w:rPr>
                <w:lang w:val="en-US"/>
              </w:rPr>
              <w:t xml:space="preserve"> can and should play a role in the public debate, for example in order to discuss certain positions on the introduction of new technologies or the governance thereof.</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An important issue is the interlinkage between innovation and foresight. Where foresight is focused on consensus building and shared understanding, the focus will be more on incremental innovation. Transformative innovation will take place in these foresight areas which are often not mainstream. There is a tension between evidence based policy making and innovation future, requiring bold people taking bold decisions. </w:t>
            </w:r>
          </w:p>
          <w:p w:rsidR="00C42DAB" w:rsidRPr="003D6933" w:rsidRDefault="00C42DAB" w:rsidP="003D6933">
            <w:pPr>
              <w:pStyle w:val="Body"/>
              <w:suppressAutoHyphens w:val="0"/>
              <w:spacing w:line="240" w:lineRule="auto"/>
              <w:rPr>
                <w:lang w:val="en-US"/>
              </w:rPr>
            </w:pPr>
          </w:p>
          <w:p w:rsidR="00C42DAB" w:rsidRPr="003D6933" w:rsidRDefault="00C42DAB" w:rsidP="003D6933">
            <w:pPr>
              <w:pStyle w:val="Body"/>
              <w:suppressAutoHyphens w:val="0"/>
              <w:spacing w:line="240" w:lineRule="auto"/>
              <w:rPr>
                <w:lang w:val="en-US"/>
              </w:rPr>
            </w:pPr>
            <w:r w:rsidRPr="003D6933">
              <w:rPr>
                <w:lang w:val="en-US"/>
              </w:rPr>
              <w:t xml:space="preserve">Finally the participants stressed the importance of looking at FLA for policy making beyond Europe. Not only to take alternative approaches into account but also in order to disseminate findings from the EFP </w:t>
            </w:r>
            <w:r>
              <w:rPr>
                <w:lang w:val="en-US"/>
              </w:rPr>
              <w:t>all over the world</w:t>
            </w:r>
            <w:r w:rsidRPr="003D6933">
              <w:rPr>
                <w:lang w:val="en-US"/>
              </w:rPr>
              <w:t>.</w:t>
            </w:r>
          </w:p>
        </w:tc>
      </w:tr>
    </w:tbl>
    <w:p w:rsidR="00C42DAB" w:rsidRDefault="00C42DAB" w:rsidP="00DE6707">
      <w:pPr>
        <w:pStyle w:val="Body"/>
        <w:suppressAutoHyphens w:val="0"/>
        <w:spacing w:line="240" w:lineRule="auto"/>
        <w:rPr>
          <w:lang w:val="en-US"/>
        </w:rPr>
      </w:pPr>
    </w:p>
    <w:p w:rsidR="00C42DAB" w:rsidRPr="008A3E88" w:rsidRDefault="00C42DAB" w:rsidP="00DE6707">
      <w:pPr>
        <w:pStyle w:val="Body"/>
        <w:suppressAutoHyphens w:val="0"/>
        <w:spacing w:line="240" w:lineRule="auto"/>
        <w:rPr>
          <w:lang w:val="en-US"/>
        </w:rPr>
      </w:pPr>
    </w:p>
    <w:p w:rsidR="00C42DAB" w:rsidRPr="00DE6707" w:rsidRDefault="00C42DAB" w:rsidP="00F6417E"/>
    <w:p w:rsidR="00C42DAB" w:rsidRDefault="00C42DAB" w:rsidP="00F6417E">
      <w:pPr>
        <w:rPr>
          <w:lang w:val="en-GB"/>
        </w:rPr>
      </w:pPr>
    </w:p>
    <w:p w:rsidR="00C42DAB" w:rsidRPr="0076415C" w:rsidRDefault="00C42DAB">
      <w:r w:rsidRPr="0076415C">
        <w:br w:type="page"/>
      </w:r>
    </w:p>
    <w:p w:rsidR="00C42DAB" w:rsidRPr="00F117E5" w:rsidRDefault="00C42DAB" w:rsidP="00DE6707">
      <w:pPr>
        <w:rPr>
          <w:lang w:val="en-GB"/>
        </w:rPr>
      </w:pPr>
      <w:r w:rsidRPr="00F117E5">
        <w:rPr>
          <w:lang w:val="en-GB"/>
        </w:rPr>
        <w:t>Annex:</w:t>
      </w:r>
    </w:p>
    <w:p w:rsidR="00C42DAB" w:rsidRPr="00377E0E" w:rsidRDefault="00C42DAB" w:rsidP="00F6417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844"/>
      </w:tblGrid>
      <w:tr w:rsidR="00C42DAB" w:rsidRPr="0085419E" w:rsidTr="00855267">
        <w:tc>
          <w:tcPr>
            <w:tcW w:w="9212" w:type="dxa"/>
            <w:gridSpan w:val="2"/>
            <w:shd w:val="clear" w:color="auto" w:fill="99FD99"/>
          </w:tcPr>
          <w:p w:rsidR="00C42DAB" w:rsidRPr="00DD12E3" w:rsidRDefault="00C42DAB" w:rsidP="00855267">
            <w:pPr>
              <w:jc w:val="center"/>
              <w:rPr>
                <w:color w:val="000000"/>
                <w:sz w:val="28"/>
                <w:szCs w:val="28"/>
              </w:rPr>
            </w:pPr>
            <w:r w:rsidRPr="00DD12E3">
              <w:rPr>
                <w:color w:val="000000"/>
                <w:sz w:val="28"/>
                <w:szCs w:val="28"/>
              </w:rPr>
              <w:t xml:space="preserve">Agenda EFP </w:t>
            </w:r>
            <w:r>
              <w:rPr>
                <w:color w:val="000000"/>
                <w:sz w:val="28"/>
                <w:szCs w:val="28"/>
              </w:rPr>
              <w:t>Review M</w:t>
            </w:r>
            <w:r w:rsidRPr="00DD12E3">
              <w:rPr>
                <w:color w:val="000000"/>
                <w:sz w:val="28"/>
                <w:szCs w:val="28"/>
              </w:rPr>
              <w:t>eeting</w:t>
            </w:r>
          </w:p>
          <w:p w:rsidR="00C42DAB" w:rsidRDefault="00C42DAB" w:rsidP="00855267">
            <w:pPr>
              <w:jc w:val="center"/>
              <w:rPr>
                <w:color w:val="000000"/>
              </w:rPr>
            </w:pPr>
          </w:p>
          <w:p w:rsidR="00C42DAB" w:rsidRDefault="00C42DAB" w:rsidP="00855267">
            <w:pPr>
              <w:jc w:val="center"/>
              <w:rPr>
                <w:color w:val="000000"/>
                <w:lang w:val="en-GB"/>
              </w:rPr>
            </w:pPr>
            <w:r>
              <w:rPr>
                <w:color w:val="000000"/>
                <w:lang w:val="en-GB"/>
              </w:rPr>
              <w:t>11</w:t>
            </w:r>
            <w:r w:rsidRPr="00A44E8E">
              <w:rPr>
                <w:color w:val="000000"/>
                <w:vertAlign w:val="superscript"/>
                <w:lang w:val="en-GB"/>
              </w:rPr>
              <w:t>th</w:t>
            </w:r>
            <w:r>
              <w:rPr>
                <w:color w:val="000000"/>
                <w:lang w:val="en-GB"/>
              </w:rPr>
              <w:t xml:space="preserve"> </w:t>
            </w:r>
            <w:r w:rsidRPr="0085419E">
              <w:rPr>
                <w:color w:val="000000"/>
                <w:lang w:val="en-GB"/>
              </w:rPr>
              <w:t>May 2011</w:t>
            </w:r>
          </w:p>
          <w:p w:rsidR="00C42DAB" w:rsidRPr="0085419E" w:rsidRDefault="00C42DAB" w:rsidP="00855267">
            <w:pPr>
              <w:jc w:val="center"/>
              <w:rPr>
                <w:color w:val="000000"/>
                <w:lang w:val="en-GB"/>
              </w:rPr>
            </w:pPr>
            <w:r>
              <w:rPr>
                <w:color w:val="000000"/>
                <w:lang w:val="en-GB"/>
              </w:rPr>
              <w:t>15:30 - 18:30h</w:t>
            </w:r>
          </w:p>
          <w:p w:rsidR="00C42DAB" w:rsidRPr="0085419E" w:rsidRDefault="00C42DAB" w:rsidP="00855267">
            <w:pPr>
              <w:jc w:val="center"/>
              <w:rPr>
                <w:color w:val="000000"/>
                <w:lang w:val="en-GB"/>
              </w:rPr>
            </w:pPr>
          </w:p>
          <w:p w:rsidR="00C42DAB" w:rsidRPr="0085419E" w:rsidRDefault="00C42DAB" w:rsidP="00855267">
            <w:pPr>
              <w:rPr>
                <w:color w:val="000000"/>
                <w:szCs w:val="20"/>
                <w:lang w:val="en-GB"/>
              </w:rPr>
            </w:pPr>
            <w:r w:rsidRPr="0085419E">
              <w:rPr>
                <w:color w:val="000000"/>
                <w:szCs w:val="20"/>
                <w:lang w:val="en-GB"/>
              </w:rPr>
              <w:t>Location: JRC-IPTS</w:t>
            </w:r>
          </w:p>
          <w:p w:rsidR="00C42DAB" w:rsidRPr="0085419E" w:rsidRDefault="00C42DAB" w:rsidP="00855267">
            <w:pPr>
              <w:rPr>
                <w:lang w:val="en-GB"/>
              </w:rPr>
            </w:pPr>
            <w:r w:rsidRPr="0085419E">
              <w:rPr>
                <w:lang w:val="en-GB"/>
              </w:rPr>
              <w:t>Meeting Room 56</w:t>
            </w:r>
          </w:p>
          <w:p w:rsidR="00C42DAB" w:rsidRDefault="00C42DAB" w:rsidP="00855267">
            <w:pPr>
              <w:rPr>
                <w:lang w:val="fr-FR"/>
              </w:rPr>
            </w:pPr>
            <w:r w:rsidRPr="0085419E">
              <w:rPr>
                <w:lang w:val="fr-FR"/>
              </w:rPr>
              <w:t>Edificio EXPO / WTC</w:t>
            </w:r>
          </w:p>
          <w:p w:rsidR="00C42DAB" w:rsidRDefault="00C42DAB" w:rsidP="00855267">
            <w:pPr>
              <w:rPr>
                <w:lang w:val="fr-FR"/>
              </w:rPr>
            </w:pPr>
            <w:r w:rsidRPr="0085419E">
              <w:rPr>
                <w:lang w:val="fr-FR"/>
              </w:rPr>
              <w:t>C/ Inca Garcilaso, 3</w:t>
            </w:r>
          </w:p>
          <w:p w:rsidR="00C42DAB" w:rsidRPr="0085419E" w:rsidRDefault="00C42DAB" w:rsidP="00855267">
            <w:pPr>
              <w:rPr>
                <w:szCs w:val="20"/>
                <w:lang w:val="fr-FR"/>
              </w:rPr>
            </w:pPr>
            <w:r w:rsidRPr="0085419E">
              <w:rPr>
                <w:lang w:val="fr-FR"/>
              </w:rPr>
              <w:t>E - 41092 SEVILLA, Spain</w:t>
            </w:r>
          </w:p>
          <w:p w:rsidR="00C42DAB" w:rsidRPr="00470F36" w:rsidRDefault="00C42DAB" w:rsidP="00855267">
            <w:pPr>
              <w:rPr>
                <w:color w:val="000000"/>
                <w:szCs w:val="20"/>
                <w:lang w:val="fr-FR"/>
              </w:rPr>
            </w:pPr>
          </w:p>
          <w:p w:rsidR="00C42DAB" w:rsidRPr="00470F36" w:rsidRDefault="00C42DAB" w:rsidP="00855267">
            <w:pPr>
              <w:rPr>
                <w:color w:val="000000"/>
                <w:lang w:val="fr-FR"/>
              </w:rPr>
            </w:pPr>
          </w:p>
        </w:tc>
      </w:tr>
      <w:tr w:rsidR="00C42DAB" w:rsidRPr="00D5644C" w:rsidTr="00855267">
        <w:tc>
          <w:tcPr>
            <w:tcW w:w="1368" w:type="dxa"/>
          </w:tcPr>
          <w:p w:rsidR="00C42DAB" w:rsidRPr="00D5644C" w:rsidRDefault="00C42DAB" w:rsidP="00855267">
            <w:pPr>
              <w:rPr>
                <w:color w:val="000000"/>
              </w:rPr>
            </w:pPr>
            <w:r>
              <w:rPr>
                <w:color w:val="000000"/>
              </w:rPr>
              <w:t>15</w:t>
            </w:r>
            <w:r w:rsidRPr="00D5644C">
              <w:rPr>
                <w:color w:val="000000"/>
              </w:rPr>
              <w:t>:</w:t>
            </w:r>
            <w:r>
              <w:rPr>
                <w:color w:val="000000"/>
              </w:rPr>
              <w:t>3</w:t>
            </w:r>
            <w:r w:rsidRPr="00D5644C">
              <w:rPr>
                <w:color w:val="000000"/>
              </w:rPr>
              <w:t>0</w:t>
            </w:r>
          </w:p>
        </w:tc>
        <w:tc>
          <w:tcPr>
            <w:tcW w:w="7844" w:type="dxa"/>
          </w:tcPr>
          <w:p w:rsidR="00C42DAB" w:rsidRDefault="00C42DAB" w:rsidP="00855267">
            <w:pPr>
              <w:rPr>
                <w:color w:val="000000"/>
                <w:lang w:val="en-GB"/>
              </w:rPr>
            </w:pPr>
            <w:r>
              <w:rPr>
                <w:color w:val="000000"/>
                <w:lang w:val="en-GB"/>
              </w:rPr>
              <w:t>Welcome by Mark Boden (JRC-IPTS) and brief Tour de Table</w:t>
            </w:r>
          </w:p>
          <w:p w:rsidR="00C42DAB" w:rsidRPr="00D5644C" w:rsidRDefault="00C42DAB" w:rsidP="00855267">
            <w:pPr>
              <w:rPr>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Default="00C42DAB" w:rsidP="00855267">
            <w:pPr>
              <w:rPr>
                <w:color w:val="000000"/>
              </w:rPr>
            </w:pPr>
            <w:r>
              <w:rPr>
                <w:color w:val="000000"/>
              </w:rPr>
              <w:t>16:00</w:t>
            </w:r>
          </w:p>
        </w:tc>
        <w:tc>
          <w:tcPr>
            <w:tcW w:w="7844" w:type="dxa"/>
          </w:tcPr>
          <w:p w:rsidR="00C42DAB" w:rsidRPr="00D5644C" w:rsidRDefault="00C42DAB" w:rsidP="00855267">
            <w:pPr>
              <w:rPr>
                <w:color w:val="000000"/>
                <w:lang w:val="en-GB"/>
              </w:rPr>
            </w:pPr>
            <w:r>
              <w:rPr>
                <w:color w:val="000000"/>
                <w:lang w:val="en-GB"/>
              </w:rPr>
              <w:t>Introduction to EFP by Susanne Giesecke (EFP Project Coordinator, AIT)</w:t>
            </w:r>
          </w:p>
          <w:p w:rsidR="00C42DAB" w:rsidRDefault="00C42DAB" w:rsidP="00855267">
            <w:pPr>
              <w:rPr>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Pr="00D5644C" w:rsidRDefault="00C42DAB" w:rsidP="00855267">
            <w:pPr>
              <w:rPr>
                <w:color w:val="000000"/>
              </w:rPr>
            </w:pPr>
            <w:r>
              <w:rPr>
                <w:color w:val="000000"/>
              </w:rPr>
              <w:t>16:20</w:t>
            </w:r>
          </w:p>
        </w:tc>
        <w:tc>
          <w:tcPr>
            <w:tcW w:w="7844" w:type="dxa"/>
          </w:tcPr>
          <w:p w:rsidR="00C42DAB" w:rsidRDefault="00C42DAB" w:rsidP="00855267">
            <w:pPr>
              <w:rPr>
                <w:color w:val="000000"/>
                <w:lang w:val="en-GB"/>
              </w:rPr>
            </w:pPr>
            <w:r>
              <w:rPr>
                <w:color w:val="000000"/>
                <w:lang w:val="en-GB"/>
              </w:rPr>
              <w:t>Feedback and Discussion</w:t>
            </w:r>
          </w:p>
          <w:p w:rsidR="00C42DAB" w:rsidRPr="00D5644C" w:rsidRDefault="00C42DAB" w:rsidP="00855267">
            <w:pPr>
              <w:rPr>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Default="00C42DAB" w:rsidP="00855267">
            <w:pPr>
              <w:rPr>
                <w:color w:val="000000"/>
                <w:lang w:val="en-GB"/>
              </w:rPr>
            </w:pPr>
            <w:r>
              <w:rPr>
                <w:color w:val="000000"/>
                <w:lang w:val="en-GB"/>
              </w:rPr>
              <w:t>16:40</w:t>
            </w:r>
          </w:p>
        </w:tc>
        <w:tc>
          <w:tcPr>
            <w:tcW w:w="7844" w:type="dxa"/>
          </w:tcPr>
          <w:p w:rsidR="00C42DAB" w:rsidRPr="00D5644C" w:rsidRDefault="00C42DAB" w:rsidP="00855267">
            <w:pPr>
              <w:rPr>
                <w:color w:val="000000"/>
                <w:lang w:val="en-GB"/>
              </w:rPr>
            </w:pPr>
            <w:r>
              <w:rPr>
                <w:color w:val="000000"/>
                <w:lang w:val="en-GB"/>
              </w:rPr>
              <w:t xml:space="preserve">Presentation of </w:t>
            </w:r>
            <w:r w:rsidRPr="00B81F45">
              <w:rPr>
                <w:color w:val="000000"/>
                <w:lang w:val="en-GB"/>
              </w:rPr>
              <w:t>EFP Policy Support</w:t>
            </w:r>
            <w:r>
              <w:rPr>
                <w:color w:val="000000"/>
                <w:lang w:val="en-GB"/>
              </w:rPr>
              <w:t xml:space="preserve"> Approaches by Vicente Carabias (WP4, JRC-IPTS) and of first EFP Policy Workshops by Annelieke van der Giessen and Miriam Leis (</w:t>
            </w:r>
            <w:r w:rsidRPr="00D5644C">
              <w:rPr>
                <w:color w:val="000000"/>
                <w:lang w:val="en-GB"/>
              </w:rPr>
              <w:t>WP</w:t>
            </w:r>
            <w:r>
              <w:rPr>
                <w:color w:val="000000"/>
                <w:lang w:val="en-GB"/>
              </w:rPr>
              <w:t>5, TNO)</w:t>
            </w:r>
          </w:p>
          <w:p w:rsidR="00C42DAB" w:rsidRDefault="00C42DAB" w:rsidP="00855267">
            <w:pPr>
              <w:rPr>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Default="00C42DAB" w:rsidP="00855267">
            <w:pPr>
              <w:rPr>
                <w:color w:val="000000"/>
                <w:lang w:val="en-GB"/>
              </w:rPr>
            </w:pPr>
            <w:r>
              <w:rPr>
                <w:color w:val="000000"/>
                <w:lang w:val="en-GB"/>
              </w:rPr>
              <w:t>17.00</w:t>
            </w:r>
          </w:p>
        </w:tc>
        <w:tc>
          <w:tcPr>
            <w:tcW w:w="7844" w:type="dxa"/>
          </w:tcPr>
          <w:p w:rsidR="00C42DAB" w:rsidRDefault="00C42DAB" w:rsidP="00855267">
            <w:pPr>
              <w:rPr>
                <w:color w:val="000000"/>
                <w:lang w:val="en-GB"/>
              </w:rPr>
            </w:pPr>
            <w:r>
              <w:rPr>
                <w:color w:val="000000"/>
                <w:lang w:val="en-GB"/>
              </w:rPr>
              <w:t>Feedback and Discussion</w:t>
            </w:r>
          </w:p>
          <w:p w:rsidR="00C42DAB" w:rsidRPr="00D5644C" w:rsidRDefault="00C42DAB" w:rsidP="00855267">
            <w:pPr>
              <w:rPr>
                <w:i/>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shd w:val="clear" w:color="auto" w:fill="FFFFFF"/>
          </w:tcPr>
          <w:p w:rsidR="00C42DAB" w:rsidRDefault="00C42DAB" w:rsidP="00855267">
            <w:pPr>
              <w:rPr>
                <w:color w:val="000000"/>
                <w:lang w:val="en-GB"/>
              </w:rPr>
            </w:pPr>
            <w:r>
              <w:rPr>
                <w:color w:val="000000"/>
                <w:lang w:val="en-GB"/>
              </w:rPr>
              <w:t>17.20</w:t>
            </w:r>
          </w:p>
        </w:tc>
        <w:tc>
          <w:tcPr>
            <w:tcW w:w="7844" w:type="dxa"/>
            <w:shd w:val="clear" w:color="auto" w:fill="FFFFFF"/>
          </w:tcPr>
          <w:p w:rsidR="00C42DAB" w:rsidRDefault="00C42DAB" w:rsidP="00855267">
            <w:pPr>
              <w:rPr>
                <w:color w:val="000000"/>
                <w:lang w:val="en-GB"/>
              </w:rPr>
            </w:pPr>
            <w:r>
              <w:rPr>
                <w:color w:val="000000"/>
                <w:lang w:val="en-GB"/>
              </w:rPr>
              <w:t>Exchange further thoughts to refine the policy support approaches,</w:t>
            </w:r>
          </w:p>
          <w:p w:rsidR="00C42DAB" w:rsidRDefault="00C42DAB" w:rsidP="00855267">
            <w:pPr>
              <w:rPr>
                <w:color w:val="000000"/>
                <w:lang w:val="en-GB"/>
              </w:rPr>
            </w:pPr>
            <w:r>
              <w:rPr>
                <w:color w:val="000000"/>
                <w:lang w:val="en-GB"/>
              </w:rPr>
              <w:t>c</w:t>
            </w:r>
            <w:r w:rsidRPr="00EA0F56">
              <w:rPr>
                <w:color w:val="000000"/>
                <w:lang w:val="en-GB"/>
              </w:rPr>
              <w:t>onclusions for the subsequent implementa</w:t>
            </w:r>
            <w:r>
              <w:rPr>
                <w:color w:val="000000"/>
                <w:lang w:val="en-GB"/>
              </w:rPr>
              <w:t>tion of the foresight framework</w:t>
            </w:r>
          </w:p>
          <w:p w:rsidR="00C42DAB" w:rsidRPr="00EA0F56" w:rsidRDefault="00C42DAB" w:rsidP="00855267">
            <w:pPr>
              <w:rPr>
                <w:color w:val="000000"/>
                <w:lang w:val="en-GB"/>
              </w:rPr>
            </w:pPr>
            <w:r w:rsidRPr="00EA0F56">
              <w:rPr>
                <w:color w:val="000000"/>
                <w:lang w:val="en-GB"/>
              </w:rPr>
              <w:t>(EFP Manual for Policy Support)</w:t>
            </w:r>
          </w:p>
          <w:p w:rsidR="00C42DAB" w:rsidRPr="00D5644C" w:rsidRDefault="00C42DAB" w:rsidP="00855267">
            <w:pPr>
              <w:rPr>
                <w:i/>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shd w:val="clear" w:color="auto" w:fill="FFFFFF"/>
          </w:tcPr>
          <w:p w:rsidR="00C42DAB" w:rsidRDefault="00C42DAB" w:rsidP="00855267">
            <w:pPr>
              <w:rPr>
                <w:lang w:val="en-GB"/>
              </w:rPr>
            </w:pPr>
            <w:r>
              <w:rPr>
                <w:lang w:val="en-GB"/>
              </w:rPr>
              <w:t>17</w:t>
            </w:r>
            <w:r w:rsidRPr="00D5644C">
              <w:rPr>
                <w:lang w:val="en-GB"/>
              </w:rPr>
              <w:t>:</w:t>
            </w:r>
            <w:r>
              <w:rPr>
                <w:lang w:val="en-GB"/>
              </w:rPr>
              <w:t>50</w:t>
            </w:r>
          </w:p>
        </w:tc>
        <w:tc>
          <w:tcPr>
            <w:tcW w:w="7844" w:type="dxa"/>
            <w:shd w:val="clear" w:color="auto" w:fill="FFFFFF"/>
          </w:tcPr>
          <w:p w:rsidR="00C42DAB" w:rsidRDefault="00C42DAB" w:rsidP="00855267">
            <w:pPr>
              <w:rPr>
                <w:color w:val="000000"/>
                <w:lang w:val="en-GB"/>
              </w:rPr>
            </w:pPr>
            <w:r>
              <w:rPr>
                <w:color w:val="000000"/>
                <w:lang w:val="en-GB"/>
              </w:rPr>
              <w:t xml:space="preserve">Beyond the EFP: Presentation of the (under creation) </w:t>
            </w:r>
            <w:r w:rsidRPr="00B26F6C">
              <w:rPr>
                <w:color w:val="000000"/>
                <w:lang w:val="en-GB"/>
              </w:rPr>
              <w:t>European Forum on Forward Looking Activities</w:t>
            </w:r>
            <w:r>
              <w:rPr>
                <w:color w:val="000000"/>
                <w:lang w:val="en-GB"/>
              </w:rPr>
              <w:t xml:space="preserve"> (EFFLA)</w:t>
            </w:r>
            <w:r w:rsidRPr="00B26F6C">
              <w:rPr>
                <w:color w:val="000000"/>
                <w:lang w:val="en-GB"/>
              </w:rPr>
              <w:t>, the Commitment 8 of the Innovation Union</w:t>
            </w:r>
            <w:r>
              <w:rPr>
                <w:color w:val="000000"/>
                <w:lang w:val="en-GB"/>
              </w:rPr>
              <w:t xml:space="preserve"> by Voula Mega (DG RTD), Discussion</w:t>
            </w:r>
          </w:p>
          <w:p w:rsidR="00C42DAB" w:rsidRPr="00D5644C" w:rsidRDefault="00C42DAB" w:rsidP="00855267">
            <w:pPr>
              <w:rPr>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Default="00C42DAB" w:rsidP="00855267">
            <w:pPr>
              <w:rPr>
                <w:lang w:val="en-GB"/>
              </w:rPr>
            </w:pPr>
            <w:r>
              <w:rPr>
                <w:lang w:val="en-GB"/>
              </w:rPr>
              <w:t>18</w:t>
            </w:r>
            <w:r w:rsidRPr="00D5644C">
              <w:rPr>
                <w:lang w:val="en-GB"/>
              </w:rPr>
              <w:t>:</w:t>
            </w:r>
            <w:r>
              <w:rPr>
                <w:lang w:val="en-GB"/>
              </w:rPr>
              <w:t>20</w:t>
            </w:r>
          </w:p>
        </w:tc>
        <w:tc>
          <w:tcPr>
            <w:tcW w:w="7844" w:type="dxa"/>
          </w:tcPr>
          <w:p w:rsidR="00C42DAB" w:rsidRDefault="00C42DAB" w:rsidP="00855267">
            <w:pPr>
              <w:rPr>
                <w:color w:val="000000"/>
                <w:lang w:val="en-GB"/>
              </w:rPr>
            </w:pPr>
            <w:r>
              <w:rPr>
                <w:color w:val="000000"/>
                <w:lang w:val="en-GB"/>
              </w:rPr>
              <w:t>Wrap-up by Susanne Giesecke (EFP Project Coordinator, AIT)</w:t>
            </w:r>
          </w:p>
          <w:p w:rsidR="00C42DAB" w:rsidRPr="00D5644C" w:rsidRDefault="00C42DAB" w:rsidP="00855267">
            <w:pPr>
              <w:rPr>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r w:rsidR="00C42DAB" w:rsidRPr="00D5644C" w:rsidTr="00855267">
        <w:tc>
          <w:tcPr>
            <w:tcW w:w="1368" w:type="dxa"/>
          </w:tcPr>
          <w:p w:rsidR="00C42DAB" w:rsidRPr="00D5644C" w:rsidRDefault="00C42DAB" w:rsidP="00855267">
            <w:pPr>
              <w:rPr>
                <w:color w:val="000000"/>
                <w:lang w:val="en-GB"/>
              </w:rPr>
            </w:pPr>
            <w:r>
              <w:rPr>
                <w:lang w:val="en-GB"/>
              </w:rPr>
              <w:t>18</w:t>
            </w:r>
            <w:r w:rsidRPr="00D5644C">
              <w:rPr>
                <w:color w:val="000000"/>
                <w:lang w:val="en-GB"/>
              </w:rPr>
              <w:t>:</w:t>
            </w:r>
            <w:r>
              <w:rPr>
                <w:color w:val="000000"/>
                <w:lang w:val="en-GB"/>
              </w:rPr>
              <w:t>3</w:t>
            </w:r>
            <w:r w:rsidRPr="00D5644C">
              <w:rPr>
                <w:color w:val="000000"/>
                <w:lang w:val="en-GB"/>
              </w:rPr>
              <w:t>0</w:t>
            </w:r>
          </w:p>
        </w:tc>
        <w:tc>
          <w:tcPr>
            <w:tcW w:w="7844" w:type="dxa"/>
          </w:tcPr>
          <w:p w:rsidR="00C42DAB" w:rsidRDefault="00C42DAB" w:rsidP="00855267">
            <w:pPr>
              <w:rPr>
                <w:color w:val="000000"/>
                <w:lang w:val="en-GB"/>
              </w:rPr>
            </w:pPr>
            <w:r>
              <w:rPr>
                <w:color w:val="000000"/>
                <w:lang w:val="en-GB"/>
              </w:rPr>
              <w:t>End of EFP Review Meeting,</w:t>
            </w:r>
          </w:p>
          <w:p w:rsidR="00C42DAB" w:rsidRDefault="00C42DAB" w:rsidP="00855267">
            <w:pPr>
              <w:rPr>
                <w:color w:val="000000"/>
                <w:lang w:val="en-GB"/>
              </w:rPr>
            </w:pPr>
            <w:r>
              <w:rPr>
                <w:color w:val="000000"/>
                <w:lang w:val="en-GB"/>
              </w:rPr>
              <w:t>Pre-registration to the FTA 2011 Conference</w:t>
            </w:r>
          </w:p>
          <w:p w:rsidR="00C42DAB" w:rsidRDefault="00C42DAB" w:rsidP="00855267">
            <w:pPr>
              <w:rPr>
                <w:color w:val="000000"/>
                <w:lang w:val="en-GB"/>
              </w:rPr>
            </w:pPr>
          </w:p>
        </w:tc>
      </w:tr>
      <w:tr w:rsidR="00C42DAB" w:rsidRPr="00D5644C" w:rsidTr="00855267">
        <w:tc>
          <w:tcPr>
            <w:tcW w:w="9212" w:type="dxa"/>
            <w:gridSpan w:val="2"/>
            <w:shd w:val="clear" w:color="auto" w:fill="99FD99"/>
          </w:tcPr>
          <w:p w:rsidR="00C42DAB" w:rsidRPr="00D5644C" w:rsidRDefault="00C42DAB" w:rsidP="00855267">
            <w:pPr>
              <w:rPr>
                <w:sz w:val="12"/>
                <w:szCs w:val="12"/>
                <w:lang w:val="en-GB"/>
              </w:rPr>
            </w:pPr>
          </w:p>
        </w:tc>
      </w:tr>
    </w:tbl>
    <w:p w:rsidR="00C42DAB" w:rsidRPr="00377E0E" w:rsidRDefault="00C42DAB" w:rsidP="00F117E5">
      <w:pPr>
        <w:rPr>
          <w:lang w:val="en-GB"/>
        </w:rPr>
      </w:pPr>
    </w:p>
    <w:p w:rsidR="00C42DAB" w:rsidRPr="00F117E5" w:rsidRDefault="00C42DAB">
      <w:pPr>
        <w:pStyle w:val="Body"/>
        <w:suppressAutoHyphens w:val="0"/>
        <w:spacing w:line="240" w:lineRule="auto"/>
      </w:pPr>
    </w:p>
    <w:p w:rsidR="00C42DAB" w:rsidRPr="008A3E88" w:rsidRDefault="00C42DAB" w:rsidP="00DE6707">
      <w:pPr>
        <w:pStyle w:val="Body"/>
        <w:suppressAutoHyphens w:val="0"/>
        <w:spacing w:line="240" w:lineRule="auto"/>
        <w:rPr>
          <w:lang w:val="en-US"/>
        </w:rPr>
      </w:pPr>
    </w:p>
    <w:sectPr w:rsidR="00C42DAB" w:rsidRPr="008A3E88" w:rsidSect="00BB0E7A">
      <w:headerReference w:type="default" r:id="rId7"/>
      <w:footerReference w:type="default" r:id="rId8"/>
      <w:headerReference w:type="first" r:id="rId9"/>
      <w:footerReference w:type="first" r:id="rId10"/>
      <w:pgSz w:w="11907" w:h="16840" w:code="9"/>
      <w:pgMar w:top="851" w:right="1134" w:bottom="851" w:left="1701" w:header="56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AB" w:rsidRDefault="00C42DAB">
      <w:r>
        <w:separator/>
      </w:r>
    </w:p>
  </w:endnote>
  <w:endnote w:type="continuationSeparator" w:id="0">
    <w:p w:rsidR="00C42DAB" w:rsidRDefault="00C42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AB" w:rsidRDefault="00C42DAB" w:rsidP="00392975">
    <w:pPr>
      <w:pStyle w:val="Footer"/>
      <w:pBdr>
        <w:bottom w:val="single" w:sz="6" w:space="1" w:color="auto"/>
      </w:pBdr>
      <w:jc w:val="right"/>
      <w:rPr>
        <w:rFonts w:ascii="Arial Narrow" w:hAnsi="Arial Narrow"/>
      </w:rPr>
    </w:pPr>
  </w:p>
  <w:p w:rsidR="00C42DAB" w:rsidRPr="00CA1503" w:rsidRDefault="00C42DAB" w:rsidP="00392975">
    <w:pPr>
      <w:pStyle w:val="Footer"/>
      <w:jc w:val="right"/>
      <w:rPr>
        <w:rFonts w:ascii="Arial Narrow" w:hAnsi="Arial Narrow"/>
        <w:sz w:val="18"/>
        <w:szCs w:val="18"/>
      </w:rPr>
    </w:pPr>
    <w:r w:rsidRPr="00CA1503">
      <w:rPr>
        <w:rFonts w:ascii="Arial Narrow" w:hAnsi="Arial Narrow"/>
        <w:sz w:val="18"/>
        <w:szCs w:val="18"/>
      </w:rPr>
      <w:fldChar w:fldCharType="begin"/>
    </w:r>
    <w:r w:rsidRPr="00CA1503">
      <w:rPr>
        <w:rFonts w:ascii="Arial Narrow" w:hAnsi="Arial Narrow"/>
        <w:sz w:val="18"/>
        <w:szCs w:val="18"/>
      </w:rPr>
      <w:instrText xml:space="preserve"> DATE \@ "M/d/yyyy" </w:instrText>
    </w:r>
    <w:r w:rsidRPr="00CA1503">
      <w:rPr>
        <w:rFonts w:ascii="Arial Narrow" w:hAnsi="Arial Narrow"/>
        <w:sz w:val="18"/>
        <w:szCs w:val="18"/>
      </w:rPr>
      <w:fldChar w:fldCharType="separate"/>
    </w:r>
    <w:r>
      <w:rPr>
        <w:rFonts w:ascii="Arial Narrow" w:hAnsi="Arial Narrow"/>
        <w:noProof/>
        <w:sz w:val="18"/>
        <w:szCs w:val="18"/>
      </w:rPr>
      <w:t>5/26/2011</w:t>
    </w:r>
    <w:r w:rsidRPr="00CA1503">
      <w:rPr>
        <w:rFonts w:ascii="Arial Narrow" w:hAnsi="Arial Narrow"/>
        <w:sz w:val="18"/>
        <w:szCs w:val="18"/>
      </w:rPr>
      <w:fldChar w:fldCharType="end"/>
    </w:r>
  </w:p>
  <w:p w:rsidR="00C42DAB" w:rsidRPr="00CA1503" w:rsidRDefault="00C42DAB" w:rsidP="00392975">
    <w:pPr>
      <w:pStyle w:val="Footer"/>
      <w:jc w:val="right"/>
      <w:rPr>
        <w:rStyle w:val="PageNumber"/>
        <w:rFonts w:ascii="Arial Narrow" w:hAnsi="Arial Narrow"/>
        <w:sz w:val="18"/>
        <w:szCs w:val="18"/>
      </w:rPr>
    </w:pPr>
    <w:r w:rsidRPr="00CA1503">
      <w:rPr>
        <w:rStyle w:val="PageNumber"/>
        <w:rFonts w:ascii="Arial Narrow" w:hAnsi="Arial Narrow"/>
        <w:sz w:val="18"/>
        <w:szCs w:val="18"/>
      </w:rPr>
      <w:t xml:space="preserve">Page </w:t>
    </w:r>
    <w:r w:rsidRPr="00CA1503">
      <w:rPr>
        <w:rStyle w:val="PageNumber"/>
        <w:rFonts w:ascii="Arial Narrow" w:hAnsi="Arial Narrow"/>
        <w:sz w:val="18"/>
        <w:szCs w:val="18"/>
      </w:rPr>
      <w:fldChar w:fldCharType="begin"/>
    </w:r>
    <w:r w:rsidRPr="00CA1503">
      <w:rPr>
        <w:rStyle w:val="PageNumber"/>
        <w:rFonts w:ascii="Arial Narrow" w:hAnsi="Arial Narrow"/>
        <w:sz w:val="18"/>
        <w:szCs w:val="18"/>
      </w:rPr>
      <w:instrText xml:space="preserve"> PAGE </w:instrText>
    </w:r>
    <w:r w:rsidRPr="00CA1503">
      <w:rPr>
        <w:rStyle w:val="PageNumber"/>
        <w:rFonts w:ascii="Arial Narrow" w:hAnsi="Arial Narrow"/>
        <w:sz w:val="18"/>
        <w:szCs w:val="18"/>
      </w:rPr>
      <w:fldChar w:fldCharType="separate"/>
    </w:r>
    <w:r>
      <w:rPr>
        <w:rStyle w:val="PageNumber"/>
        <w:rFonts w:ascii="Arial Narrow" w:hAnsi="Arial Narrow"/>
        <w:noProof/>
        <w:sz w:val="18"/>
        <w:szCs w:val="18"/>
      </w:rPr>
      <w:t>4</w:t>
    </w:r>
    <w:r w:rsidRPr="00CA1503">
      <w:rPr>
        <w:rStyle w:val="PageNumber"/>
        <w:rFonts w:ascii="Arial Narrow" w:hAnsi="Arial Narrow"/>
        <w:sz w:val="18"/>
        <w:szCs w:val="18"/>
      </w:rPr>
      <w:fldChar w:fldCharType="end"/>
    </w:r>
    <w:r w:rsidRPr="00CA1503">
      <w:rPr>
        <w:rStyle w:val="PageNumber"/>
        <w:rFonts w:ascii="Arial Narrow" w:hAnsi="Arial Narrow"/>
        <w:sz w:val="18"/>
        <w:szCs w:val="18"/>
      </w:rPr>
      <w:t xml:space="preserve"> of </w:t>
    </w:r>
    <w:r w:rsidRPr="00CA1503">
      <w:rPr>
        <w:rStyle w:val="PageNumber"/>
        <w:rFonts w:ascii="Arial Narrow" w:hAnsi="Arial Narrow"/>
        <w:sz w:val="18"/>
        <w:szCs w:val="18"/>
      </w:rPr>
      <w:fldChar w:fldCharType="begin"/>
    </w:r>
    <w:r w:rsidRPr="00CA1503">
      <w:rPr>
        <w:rStyle w:val="PageNumber"/>
        <w:rFonts w:ascii="Arial Narrow" w:hAnsi="Arial Narrow"/>
        <w:sz w:val="18"/>
        <w:szCs w:val="18"/>
      </w:rPr>
      <w:instrText xml:space="preserve"> NUMPAGES </w:instrText>
    </w:r>
    <w:r w:rsidRPr="00CA1503">
      <w:rPr>
        <w:rStyle w:val="PageNumber"/>
        <w:rFonts w:ascii="Arial Narrow" w:hAnsi="Arial Narrow"/>
        <w:sz w:val="18"/>
        <w:szCs w:val="18"/>
      </w:rPr>
      <w:fldChar w:fldCharType="separate"/>
    </w:r>
    <w:r>
      <w:rPr>
        <w:rStyle w:val="PageNumber"/>
        <w:rFonts w:ascii="Arial Narrow" w:hAnsi="Arial Narrow"/>
        <w:noProof/>
        <w:sz w:val="18"/>
        <w:szCs w:val="18"/>
      </w:rPr>
      <w:t>4</w:t>
    </w:r>
    <w:r w:rsidRPr="00CA1503">
      <w:rPr>
        <w:rStyle w:val="PageNumber"/>
        <w:rFonts w:ascii="Arial Narrow" w:hAnsi="Arial Narrow"/>
        <w:sz w:val="18"/>
        <w:szCs w:val="18"/>
      </w:rPr>
      <w:fldChar w:fldCharType="end"/>
    </w:r>
  </w:p>
  <w:p w:rsidR="00C42DAB" w:rsidRPr="00CA1503" w:rsidRDefault="00C42DAB" w:rsidP="00392975">
    <w:pPr>
      <w:pStyle w:val="Footer"/>
      <w:jc w:val="right"/>
      <w:rPr>
        <w:rFonts w:ascii="Arial Narrow" w:hAnsi="Arial Narrow"/>
        <w:sz w:val="18"/>
        <w:szCs w:val="18"/>
      </w:rPr>
    </w:pPr>
    <w:r w:rsidRPr="00CA1503">
      <w:rPr>
        <w:rStyle w:val="PageNumber"/>
        <w:rFonts w:ascii="Arial Narrow" w:hAnsi="Arial Narrow"/>
        <w:sz w:val="18"/>
        <w:szCs w:val="18"/>
      </w:rPr>
      <w:t>© 201</w:t>
    </w:r>
    <w:r>
      <w:rPr>
        <w:rStyle w:val="PageNumber"/>
        <w:rFonts w:ascii="Arial Narrow" w:hAnsi="Arial Narrow"/>
        <w:sz w:val="18"/>
        <w:szCs w:val="18"/>
      </w:rPr>
      <w:t>1</w:t>
    </w:r>
    <w:r w:rsidRPr="00CA1503">
      <w:rPr>
        <w:rStyle w:val="PageNumber"/>
        <w:rFonts w:ascii="Arial Narrow" w:hAnsi="Arial Narrow"/>
        <w:sz w:val="18"/>
        <w:szCs w:val="18"/>
      </w:rPr>
      <w:t>, EFP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AB" w:rsidRDefault="00C42DAB" w:rsidP="00CA7505">
    <w:pPr>
      <w:jc w:val="right"/>
      <w:rPr>
        <w:rFonts w:ascii="Arial Narrow" w:hAnsi="Arial Narrow"/>
        <w:sz w:val="18"/>
        <w:szCs w:val="18"/>
        <w:lang w:val="en-GB"/>
      </w:rPr>
    </w:pPr>
  </w:p>
  <w:p w:rsidR="00C42DAB" w:rsidRPr="0085419E" w:rsidRDefault="00C42DAB" w:rsidP="00CA7505">
    <w:pPr>
      <w:jc w:val="right"/>
      <w:rPr>
        <w:rFonts w:ascii="Arial Narrow" w:hAnsi="Arial Narrow"/>
        <w:sz w:val="18"/>
        <w:szCs w:val="18"/>
        <w:lang w:val="en-GB"/>
      </w:rPr>
    </w:pPr>
    <w:r>
      <w:rPr>
        <w:noProof/>
        <w:lang w:val="en-GB" w:eastAsia="en-GB"/>
      </w:rPr>
      <w:pict>
        <v:group id="_x0000_s2051" style="position:absolute;left:0;text-align:left;margin-left:-9pt;margin-top:-5.6pt;width:126pt;height:58.35pt;z-index:251658752" coordorigin="2081,10288" coordsize="5580,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2261;top:10288;width:5220;height:2318" o:allowincell="f">
            <v:imagedata r:id="rId1" o:title=""/>
          </v:shape>
          <v:rect id="_x0000_s2053" style="position:absolute;left:2081;top:10303;width:5580;height:2385" o:allowincell="f" filled="f" strokecolor="silver"/>
        </v:group>
      </w:pict>
    </w:r>
    <w:r w:rsidRPr="0085419E">
      <w:rPr>
        <w:rFonts w:ascii="Arial Narrow" w:hAnsi="Arial Narrow"/>
        <w:sz w:val="18"/>
        <w:szCs w:val="18"/>
        <w:lang w:val="en-GB"/>
      </w:rPr>
      <w:t>All rights reserved</w:t>
    </w:r>
  </w:p>
  <w:p w:rsidR="00C42DAB" w:rsidRPr="0085419E" w:rsidRDefault="00C42DAB" w:rsidP="0085419E">
    <w:pPr>
      <w:jc w:val="right"/>
      <w:rPr>
        <w:rFonts w:ascii="Arial Narrow" w:hAnsi="Arial Narrow"/>
        <w:sz w:val="18"/>
        <w:szCs w:val="18"/>
        <w:lang w:val="en-GB"/>
      </w:rPr>
    </w:pPr>
    <w:r w:rsidRPr="0085419E">
      <w:rPr>
        <w:rFonts w:ascii="Arial Narrow" w:hAnsi="Arial Narrow"/>
        <w:sz w:val="18"/>
        <w:szCs w:val="18"/>
        <w:lang w:val="en-GB"/>
      </w:rPr>
      <w:t>© 2011, EFP consortium</w:t>
    </w:r>
  </w:p>
  <w:p w:rsidR="00C42DAB" w:rsidRPr="0085419E" w:rsidRDefault="00C42DAB" w:rsidP="00CA7505">
    <w:pPr>
      <w:jc w:val="right"/>
      <w:rPr>
        <w:rFonts w:ascii="Arial Narrow" w:hAnsi="Arial Narrow"/>
        <w:sz w:val="18"/>
        <w:szCs w:val="18"/>
        <w:lang w:val="en-GB"/>
      </w:rPr>
    </w:pPr>
  </w:p>
  <w:p w:rsidR="00C42DAB" w:rsidRPr="0085419E" w:rsidRDefault="00C42DAB" w:rsidP="00CA7505">
    <w:pPr>
      <w:jc w:val="right"/>
      <w:rPr>
        <w:rFonts w:ascii="Arial Narrow" w:hAnsi="Arial Narrow"/>
        <w:sz w:val="18"/>
        <w:szCs w:val="18"/>
        <w:lang w:val="en-GB"/>
      </w:rPr>
    </w:pPr>
  </w:p>
  <w:p w:rsidR="00C42DAB" w:rsidRPr="0085419E" w:rsidRDefault="00C42DAB" w:rsidP="00CA7505">
    <w:pPr>
      <w:jc w:val="right"/>
      <w:rPr>
        <w:rFonts w:ascii="Arial Narrow" w:hAnsi="Arial Narrow"/>
        <w:sz w:val="18"/>
        <w:szCs w:val="18"/>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AB" w:rsidRDefault="00C42DAB">
      <w:r>
        <w:separator/>
      </w:r>
    </w:p>
  </w:footnote>
  <w:footnote w:type="continuationSeparator" w:id="0">
    <w:p w:rsidR="00C42DAB" w:rsidRDefault="00C42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AB" w:rsidRPr="006F51D5" w:rsidRDefault="00C42DAB" w:rsidP="00BB0E7A">
    <w:pPr>
      <w:pStyle w:val="Header"/>
      <w:jc w:val="right"/>
      <w:rPr>
        <w:i/>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2049" type="#_x0000_t75" alt="Logo grün_3" style="position:absolute;left:0;text-align:left;margin-left:0;margin-top:.3pt;width:78.9pt;height:52.15pt;z-index:251657728;visibility:visible">
          <v:imagedata r:id="rId1" o:title=""/>
        </v:shape>
      </w:pict>
    </w:r>
    <w:r w:rsidRPr="006F51D5">
      <w:rPr>
        <w:i/>
        <w:sz w:val="18"/>
        <w:szCs w:val="18"/>
      </w:rPr>
      <w:t>Minutes of EFP Review Workshop on</w:t>
    </w:r>
    <w:r w:rsidRPr="006F51D5">
      <w:rPr>
        <w:i/>
      </w:rPr>
      <w:t xml:space="preserve"> Policy Support </w:t>
    </w:r>
  </w:p>
  <w:p w:rsidR="00C42DAB" w:rsidRPr="006F51D5" w:rsidRDefault="00C42DAB" w:rsidP="00BB0E7A">
    <w:pPr>
      <w:pStyle w:val="Header"/>
      <w:jc w:val="right"/>
      <w:rPr>
        <w:i/>
        <w:sz w:val="16"/>
        <w:szCs w:val="16"/>
      </w:rPr>
    </w:pPr>
    <w:r w:rsidRPr="006F51D5">
      <w:rPr>
        <w:i/>
        <w:sz w:val="16"/>
        <w:szCs w:val="16"/>
      </w:rPr>
      <w:t>Version 3</w:t>
    </w:r>
  </w:p>
  <w:p w:rsidR="00C42DAB" w:rsidRDefault="00C42DAB">
    <w:pPr>
      <w:pStyle w:val="Header"/>
      <w:tabs>
        <w:tab w:val="left" w:pos="8310"/>
      </w:tabs>
    </w:pPr>
    <w:r>
      <w:tab/>
    </w:r>
    <w:r>
      <w:tab/>
    </w:r>
    <w:r>
      <w:tab/>
    </w:r>
  </w:p>
  <w:p w:rsidR="00C42DAB" w:rsidRDefault="00C42DAB">
    <w:pPr>
      <w:pStyle w:val="Header"/>
      <w:tabs>
        <w:tab w:val="left" w:pos="8310"/>
      </w:tabs>
    </w:pPr>
  </w:p>
  <w:p w:rsidR="00C42DAB" w:rsidRDefault="00C42DAB">
    <w:pPr>
      <w:pStyle w:val="Header"/>
      <w:pBdr>
        <w:bottom w:val="single" w:sz="6" w:space="1" w:color="auto"/>
      </w:pBdr>
    </w:pPr>
  </w:p>
  <w:p w:rsidR="00C42DAB" w:rsidRDefault="00C42D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2593"/>
      <w:gridCol w:w="5602"/>
      <w:gridCol w:w="1093"/>
    </w:tblGrid>
    <w:tr w:rsidR="00C42DAB" w:rsidTr="00765DA3">
      <w:tc>
        <w:tcPr>
          <w:tcW w:w="2593" w:type="dxa"/>
        </w:tcPr>
        <w:p w:rsidR="00C42DAB" w:rsidRDefault="00C42DAB" w:rsidP="00A76036">
          <w:pPr>
            <w:pStyle w:val="Header"/>
          </w:pPr>
          <w:r w:rsidRPr="00BC515C">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 grün_3" style="width:90pt;height:57pt;visibility:visible">
                <v:imagedata r:id="rId1" o:title=""/>
              </v:shape>
            </w:pict>
          </w:r>
        </w:p>
        <w:p w:rsidR="00C42DAB" w:rsidRPr="007D013E" w:rsidRDefault="00C42DAB" w:rsidP="007D013E">
          <w:pPr>
            <w:pStyle w:val="Header"/>
            <w:rPr>
              <w:color w:val="0000FF"/>
              <w:sz w:val="16"/>
              <w:szCs w:val="16"/>
              <w:u w:val="single"/>
            </w:rPr>
          </w:pPr>
          <w:r w:rsidRPr="007D013E">
            <w:rPr>
              <w:rStyle w:val="Hyperlink"/>
              <w:sz w:val="16"/>
              <w:szCs w:val="16"/>
            </w:rPr>
            <w:t>www.foresight</w:t>
          </w:r>
          <w:r>
            <w:rPr>
              <w:rStyle w:val="Hyperlink"/>
              <w:sz w:val="16"/>
              <w:szCs w:val="16"/>
            </w:rPr>
            <w:t>-</w:t>
          </w:r>
          <w:r w:rsidRPr="007D013E">
            <w:rPr>
              <w:rStyle w:val="Hyperlink"/>
              <w:sz w:val="16"/>
              <w:szCs w:val="16"/>
            </w:rPr>
            <w:t>platform.eu</w:t>
          </w:r>
        </w:p>
      </w:tc>
      <w:tc>
        <w:tcPr>
          <w:tcW w:w="5602" w:type="dxa"/>
        </w:tcPr>
        <w:p w:rsidR="00C42DAB" w:rsidRPr="009119F8" w:rsidRDefault="00C42DAB" w:rsidP="00A76036">
          <w:pPr>
            <w:pStyle w:val="Header"/>
            <w:jc w:val="right"/>
            <w:rPr>
              <w:b/>
              <w:i/>
              <w:szCs w:val="20"/>
            </w:rPr>
          </w:pPr>
          <w:r>
            <w:rPr>
              <w:b/>
              <w:i/>
              <w:szCs w:val="20"/>
            </w:rPr>
            <w:t>European Foresight Platform</w:t>
          </w:r>
        </w:p>
        <w:p w:rsidR="00C42DAB" w:rsidRPr="00F30212" w:rsidRDefault="00C42DAB" w:rsidP="00F30212">
          <w:pPr>
            <w:pStyle w:val="Header"/>
            <w:jc w:val="right"/>
            <w:rPr>
              <w:sz w:val="16"/>
              <w:szCs w:val="16"/>
            </w:rPr>
          </w:pPr>
          <w:r w:rsidRPr="00F30212">
            <w:rPr>
              <w:sz w:val="16"/>
              <w:szCs w:val="16"/>
            </w:rPr>
            <w:t>The European Commission is providing the means to continue the important networking activities of foresight initiatives. Setting out on the previous work of the European Foresight Monitoring Network and For</w:t>
          </w:r>
          <w:r>
            <w:rPr>
              <w:sz w:val="16"/>
              <w:szCs w:val="16"/>
            </w:rPr>
            <w:t>-</w:t>
          </w:r>
          <w:r w:rsidRPr="00F30212">
            <w:rPr>
              <w:sz w:val="16"/>
              <w:szCs w:val="16"/>
            </w:rPr>
            <w:t xml:space="preserve">Learn the new European Foresight Platform resumes its work. </w:t>
          </w:r>
        </w:p>
      </w:tc>
      <w:tc>
        <w:tcPr>
          <w:tcW w:w="1093" w:type="dxa"/>
        </w:tcPr>
        <w:p w:rsidR="00C42DAB" w:rsidRDefault="00C42DAB" w:rsidP="00A76036">
          <w:pPr>
            <w:pStyle w:val="Header"/>
          </w:pPr>
          <w:r>
            <w:rPr>
              <w:noProof/>
              <w:lang w:val="en-GB" w:eastAsia="en-GB"/>
            </w:rPr>
            <w:pict>
              <v:shape id="Bild 2" o:spid="_x0000_s2050" type="#_x0000_t75" style="position:absolute;margin-left:-2.1pt;margin-top:1.75pt;width:42.35pt;height:53.1pt;z-index:251656704;visibility:visible;mso-position-horizontal-relative:text;mso-position-vertical-relative:text">
                <v:imagedata r:id="rId2" o:title=""/>
              </v:shape>
            </w:pict>
          </w:r>
        </w:p>
        <w:p w:rsidR="00C42DAB" w:rsidRDefault="00C42DAB" w:rsidP="00A76036">
          <w:pPr>
            <w:pStyle w:val="Header"/>
          </w:pPr>
        </w:p>
        <w:p w:rsidR="00C42DAB" w:rsidRDefault="00C42DAB" w:rsidP="00A76036">
          <w:pPr>
            <w:pStyle w:val="Header"/>
          </w:pPr>
        </w:p>
      </w:tc>
    </w:tr>
  </w:tbl>
  <w:p w:rsidR="00C42DAB" w:rsidRPr="00BF73C3" w:rsidRDefault="00C42D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825"/>
    <w:multiLevelType w:val="hybridMultilevel"/>
    <w:tmpl w:val="3E2222DA"/>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5651104"/>
    <w:multiLevelType w:val="hybridMultilevel"/>
    <w:tmpl w:val="17B864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972C9"/>
    <w:multiLevelType w:val="hybridMultilevel"/>
    <w:tmpl w:val="0FCEB2C0"/>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E114D9F"/>
    <w:multiLevelType w:val="hybridMultilevel"/>
    <w:tmpl w:val="FFF068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936870"/>
    <w:multiLevelType w:val="hybridMultilevel"/>
    <w:tmpl w:val="D942563C"/>
    <w:lvl w:ilvl="0" w:tplc="A35A27AA">
      <w:start w:val="1"/>
      <w:numFmt w:val="bullet"/>
      <w:lvlText w:val=""/>
      <w:lvlJc w:val="left"/>
      <w:pPr>
        <w:tabs>
          <w:tab w:val="num" w:pos="851"/>
        </w:tabs>
        <w:ind w:left="85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753FC3"/>
    <w:multiLevelType w:val="hybridMultilevel"/>
    <w:tmpl w:val="D9621F6C"/>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4383D6A"/>
    <w:multiLevelType w:val="hybridMultilevel"/>
    <w:tmpl w:val="B65C677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27AC2A0C"/>
    <w:multiLevelType w:val="hybridMultilevel"/>
    <w:tmpl w:val="41F8195A"/>
    <w:lvl w:ilvl="0" w:tplc="04130003">
      <w:start w:val="1"/>
      <w:numFmt w:val="bullet"/>
      <w:lvlText w:val="o"/>
      <w:lvlJc w:val="left"/>
      <w:pPr>
        <w:tabs>
          <w:tab w:val="num" w:pos="720"/>
        </w:tabs>
        <w:ind w:left="720" w:hanging="360"/>
      </w:pPr>
      <w:rPr>
        <w:rFonts w:ascii="Courier New" w:hAnsi="Courier New"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92064AC"/>
    <w:multiLevelType w:val="hybridMultilevel"/>
    <w:tmpl w:val="CE867F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DBF2A71"/>
    <w:multiLevelType w:val="hybridMultilevel"/>
    <w:tmpl w:val="FA60FC30"/>
    <w:lvl w:ilvl="0" w:tplc="0413000F">
      <w:start w:val="1"/>
      <w:numFmt w:val="decima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F3F4F4F"/>
    <w:multiLevelType w:val="hybridMultilevel"/>
    <w:tmpl w:val="8A8A5E6E"/>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0E459E2"/>
    <w:multiLevelType w:val="hybridMultilevel"/>
    <w:tmpl w:val="184467B6"/>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10F5B3E"/>
    <w:multiLevelType w:val="hybridMultilevel"/>
    <w:tmpl w:val="63E22D2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nsid w:val="3B7F4A0F"/>
    <w:multiLevelType w:val="multilevel"/>
    <w:tmpl w:val="A314C3E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3276"/>
        </w:tabs>
        <w:ind w:left="32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nsid w:val="3C05474D"/>
    <w:multiLevelType w:val="hybridMultilevel"/>
    <w:tmpl w:val="FE049CC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DA51DB6"/>
    <w:multiLevelType w:val="hybridMultilevel"/>
    <w:tmpl w:val="FEB2AB6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nsid w:val="49701D23"/>
    <w:multiLevelType w:val="hybridMultilevel"/>
    <w:tmpl w:val="15CEC73E"/>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B0C5981"/>
    <w:multiLevelType w:val="hybridMultilevel"/>
    <w:tmpl w:val="3904C5C4"/>
    <w:lvl w:ilvl="0" w:tplc="6FC6906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23507C9"/>
    <w:multiLevelType w:val="multilevel"/>
    <w:tmpl w:val="6BCE60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DD5B14"/>
    <w:multiLevelType w:val="hybridMultilevel"/>
    <w:tmpl w:val="ADAE6C1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55C1171A"/>
    <w:multiLevelType w:val="hybridMultilevel"/>
    <w:tmpl w:val="CE16CDB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55DB0B6A"/>
    <w:multiLevelType w:val="hybridMultilevel"/>
    <w:tmpl w:val="2F8C78E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6263CDF"/>
    <w:multiLevelType w:val="hybridMultilevel"/>
    <w:tmpl w:val="0910F9B2"/>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5B286829"/>
    <w:multiLevelType w:val="hybridMultilevel"/>
    <w:tmpl w:val="2BCA27F2"/>
    <w:lvl w:ilvl="0" w:tplc="458EC528">
      <w:start w:val="1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12B6C7E"/>
    <w:multiLevelType w:val="hybridMultilevel"/>
    <w:tmpl w:val="C7D6D1DC"/>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5">
    <w:nsid w:val="62CF625E"/>
    <w:multiLevelType w:val="hybridMultilevel"/>
    <w:tmpl w:val="E0A2443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65B94888"/>
    <w:multiLevelType w:val="hybridMultilevel"/>
    <w:tmpl w:val="B0B6D0D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nsid w:val="68DF1143"/>
    <w:multiLevelType w:val="hybridMultilevel"/>
    <w:tmpl w:val="EF6A5F90"/>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6D9A7271"/>
    <w:multiLevelType w:val="hybridMultilevel"/>
    <w:tmpl w:val="2D4E70CE"/>
    <w:lvl w:ilvl="0" w:tplc="0413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EA445F6"/>
    <w:multiLevelType w:val="hybridMultilevel"/>
    <w:tmpl w:val="85603B1E"/>
    <w:lvl w:ilvl="0" w:tplc="DBFAB85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0">
    <w:nsid w:val="70C34B6C"/>
    <w:multiLevelType w:val="hybridMultilevel"/>
    <w:tmpl w:val="8A5A175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nsid w:val="70C50167"/>
    <w:multiLevelType w:val="hybridMultilevel"/>
    <w:tmpl w:val="1A908F64"/>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10360F8"/>
    <w:multiLevelType w:val="hybridMultilevel"/>
    <w:tmpl w:val="A06CD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3AE305B"/>
    <w:multiLevelType w:val="hybridMultilevel"/>
    <w:tmpl w:val="872C45DE"/>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76072C3A"/>
    <w:multiLevelType w:val="hybridMultilevel"/>
    <w:tmpl w:val="C9C05EE2"/>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785A570A"/>
    <w:multiLevelType w:val="hybridMultilevel"/>
    <w:tmpl w:val="D1D8F63E"/>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3"/>
  </w:num>
  <w:num w:numId="4">
    <w:abstractNumId w:val="6"/>
  </w:num>
  <w:num w:numId="5">
    <w:abstractNumId w:val="1"/>
  </w:num>
  <w:num w:numId="6">
    <w:abstractNumId w:val="6"/>
  </w:num>
  <w:num w:numId="7">
    <w:abstractNumId w:val="26"/>
  </w:num>
  <w:num w:numId="8">
    <w:abstractNumId w:val="32"/>
  </w:num>
  <w:num w:numId="9">
    <w:abstractNumId w:val="4"/>
  </w:num>
  <w:num w:numId="10">
    <w:abstractNumId w:val="20"/>
  </w:num>
  <w:num w:numId="11">
    <w:abstractNumId w:val="8"/>
  </w:num>
  <w:num w:numId="12">
    <w:abstractNumId w:val="18"/>
  </w:num>
  <w:num w:numId="13">
    <w:abstractNumId w:val="28"/>
  </w:num>
  <w:num w:numId="14">
    <w:abstractNumId w:val="29"/>
  </w:num>
  <w:num w:numId="15">
    <w:abstractNumId w:val="24"/>
  </w:num>
  <w:num w:numId="16">
    <w:abstractNumId w:val="7"/>
  </w:num>
  <w:num w:numId="17">
    <w:abstractNumId w:val="11"/>
  </w:num>
  <w:num w:numId="18">
    <w:abstractNumId w:val="33"/>
  </w:num>
  <w:num w:numId="19">
    <w:abstractNumId w:val="2"/>
  </w:num>
  <w:num w:numId="20">
    <w:abstractNumId w:val="16"/>
  </w:num>
  <w:num w:numId="21">
    <w:abstractNumId w:val="31"/>
  </w:num>
  <w:num w:numId="22">
    <w:abstractNumId w:val="35"/>
  </w:num>
  <w:num w:numId="23">
    <w:abstractNumId w:val="34"/>
  </w:num>
  <w:num w:numId="24">
    <w:abstractNumId w:val="22"/>
  </w:num>
  <w:num w:numId="25">
    <w:abstractNumId w:val="10"/>
  </w:num>
  <w:num w:numId="26">
    <w:abstractNumId w:val="5"/>
  </w:num>
  <w:num w:numId="27">
    <w:abstractNumId w:val="27"/>
  </w:num>
  <w:num w:numId="28">
    <w:abstractNumId w:val="9"/>
  </w:num>
  <w:num w:numId="29">
    <w:abstractNumId w:val="0"/>
  </w:num>
  <w:num w:numId="30">
    <w:abstractNumId w:val="19"/>
  </w:num>
  <w:num w:numId="31">
    <w:abstractNumId w:val="25"/>
  </w:num>
  <w:num w:numId="32">
    <w:abstractNumId w:val="30"/>
  </w:num>
  <w:num w:numId="33">
    <w:abstractNumId w:val="21"/>
  </w:num>
  <w:num w:numId="34">
    <w:abstractNumId w:val="15"/>
  </w:num>
  <w:num w:numId="35">
    <w:abstractNumId w:val="12"/>
  </w:num>
  <w:num w:numId="36">
    <w:abstractNumId w:val="23"/>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31F"/>
    <w:rsid w:val="00002766"/>
    <w:rsid w:val="00003AFB"/>
    <w:rsid w:val="00004DA8"/>
    <w:rsid w:val="000106B4"/>
    <w:rsid w:val="00013B7D"/>
    <w:rsid w:val="0001519D"/>
    <w:rsid w:val="00027374"/>
    <w:rsid w:val="0003061C"/>
    <w:rsid w:val="00031998"/>
    <w:rsid w:val="00037A6D"/>
    <w:rsid w:val="00037C90"/>
    <w:rsid w:val="00040517"/>
    <w:rsid w:val="0004356C"/>
    <w:rsid w:val="00043E2F"/>
    <w:rsid w:val="00055679"/>
    <w:rsid w:val="000566D2"/>
    <w:rsid w:val="00061C89"/>
    <w:rsid w:val="00067506"/>
    <w:rsid w:val="00087B4F"/>
    <w:rsid w:val="00090DFC"/>
    <w:rsid w:val="000930B3"/>
    <w:rsid w:val="00094D54"/>
    <w:rsid w:val="000A0C04"/>
    <w:rsid w:val="000A372B"/>
    <w:rsid w:val="000A59E0"/>
    <w:rsid w:val="000A5A15"/>
    <w:rsid w:val="000B47C3"/>
    <w:rsid w:val="000B642E"/>
    <w:rsid w:val="000B7E52"/>
    <w:rsid w:val="000C1B9A"/>
    <w:rsid w:val="000C6945"/>
    <w:rsid w:val="000C7E18"/>
    <w:rsid w:val="000D1DE1"/>
    <w:rsid w:val="000D3485"/>
    <w:rsid w:val="000D5EEE"/>
    <w:rsid w:val="000E30AE"/>
    <w:rsid w:val="000E4D50"/>
    <w:rsid w:val="000E6DBF"/>
    <w:rsid w:val="000F5001"/>
    <w:rsid w:val="000F7616"/>
    <w:rsid w:val="00102658"/>
    <w:rsid w:val="001038CF"/>
    <w:rsid w:val="00113E91"/>
    <w:rsid w:val="00114D5B"/>
    <w:rsid w:val="001207D3"/>
    <w:rsid w:val="00122367"/>
    <w:rsid w:val="0012299A"/>
    <w:rsid w:val="00123B8F"/>
    <w:rsid w:val="00125202"/>
    <w:rsid w:val="001263EE"/>
    <w:rsid w:val="0012786E"/>
    <w:rsid w:val="001345B6"/>
    <w:rsid w:val="00135897"/>
    <w:rsid w:val="0014017A"/>
    <w:rsid w:val="0014303B"/>
    <w:rsid w:val="00147E94"/>
    <w:rsid w:val="00156A96"/>
    <w:rsid w:val="00164256"/>
    <w:rsid w:val="00165E1B"/>
    <w:rsid w:val="00167E21"/>
    <w:rsid w:val="00171984"/>
    <w:rsid w:val="00173493"/>
    <w:rsid w:val="0017448C"/>
    <w:rsid w:val="00177C51"/>
    <w:rsid w:val="00180C52"/>
    <w:rsid w:val="00183074"/>
    <w:rsid w:val="0018501E"/>
    <w:rsid w:val="00190AF7"/>
    <w:rsid w:val="001941CD"/>
    <w:rsid w:val="00196932"/>
    <w:rsid w:val="00196E59"/>
    <w:rsid w:val="001A2B0E"/>
    <w:rsid w:val="001A32E1"/>
    <w:rsid w:val="001A631F"/>
    <w:rsid w:val="001A7ECC"/>
    <w:rsid w:val="001B39A7"/>
    <w:rsid w:val="001B3DA3"/>
    <w:rsid w:val="001B6E8F"/>
    <w:rsid w:val="001D10D6"/>
    <w:rsid w:val="001D4277"/>
    <w:rsid w:val="001D4339"/>
    <w:rsid w:val="001D673C"/>
    <w:rsid w:val="001D7B3D"/>
    <w:rsid w:val="001E062A"/>
    <w:rsid w:val="001E15B9"/>
    <w:rsid w:val="00202804"/>
    <w:rsid w:val="00207B22"/>
    <w:rsid w:val="00207DD0"/>
    <w:rsid w:val="00211104"/>
    <w:rsid w:val="00213556"/>
    <w:rsid w:val="0021508E"/>
    <w:rsid w:val="002164A3"/>
    <w:rsid w:val="00224B8D"/>
    <w:rsid w:val="00233403"/>
    <w:rsid w:val="0023546A"/>
    <w:rsid w:val="00235A0E"/>
    <w:rsid w:val="00237815"/>
    <w:rsid w:val="00244952"/>
    <w:rsid w:val="00264301"/>
    <w:rsid w:val="00264B78"/>
    <w:rsid w:val="00264DDB"/>
    <w:rsid w:val="002715C3"/>
    <w:rsid w:val="002723D7"/>
    <w:rsid w:val="0027308C"/>
    <w:rsid w:val="00275E1B"/>
    <w:rsid w:val="002765CE"/>
    <w:rsid w:val="0027748D"/>
    <w:rsid w:val="00290C0B"/>
    <w:rsid w:val="002936F8"/>
    <w:rsid w:val="002968C8"/>
    <w:rsid w:val="00297C5A"/>
    <w:rsid w:val="002A2B50"/>
    <w:rsid w:val="002A51CC"/>
    <w:rsid w:val="002B1722"/>
    <w:rsid w:val="002B6834"/>
    <w:rsid w:val="002B730F"/>
    <w:rsid w:val="002C365D"/>
    <w:rsid w:val="002D35FE"/>
    <w:rsid w:val="002F156C"/>
    <w:rsid w:val="002F4458"/>
    <w:rsid w:val="002F7CB1"/>
    <w:rsid w:val="0030112E"/>
    <w:rsid w:val="00303E3B"/>
    <w:rsid w:val="003061CA"/>
    <w:rsid w:val="00306900"/>
    <w:rsid w:val="00310FC9"/>
    <w:rsid w:val="003115DE"/>
    <w:rsid w:val="00312674"/>
    <w:rsid w:val="00314E1C"/>
    <w:rsid w:val="003160C2"/>
    <w:rsid w:val="003200A4"/>
    <w:rsid w:val="00325F7E"/>
    <w:rsid w:val="0034371C"/>
    <w:rsid w:val="003500C6"/>
    <w:rsid w:val="00356E92"/>
    <w:rsid w:val="00362938"/>
    <w:rsid w:val="003647EE"/>
    <w:rsid w:val="00364D44"/>
    <w:rsid w:val="003671E3"/>
    <w:rsid w:val="00374123"/>
    <w:rsid w:val="00377E0E"/>
    <w:rsid w:val="00384F1D"/>
    <w:rsid w:val="0039085C"/>
    <w:rsid w:val="00391D60"/>
    <w:rsid w:val="00392975"/>
    <w:rsid w:val="00396687"/>
    <w:rsid w:val="003A0514"/>
    <w:rsid w:val="003A52E9"/>
    <w:rsid w:val="003C2D92"/>
    <w:rsid w:val="003C6625"/>
    <w:rsid w:val="003C7020"/>
    <w:rsid w:val="003D62C3"/>
    <w:rsid w:val="003D6347"/>
    <w:rsid w:val="003D6933"/>
    <w:rsid w:val="003D7E69"/>
    <w:rsid w:val="003E0394"/>
    <w:rsid w:val="003E4A31"/>
    <w:rsid w:val="003F00E0"/>
    <w:rsid w:val="003F2BDF"/>
    <w:rsid w:val="004005F8"/>
    <w:rsid w:val="00405688"/>
    <w:rsid w:val="00412D57"/>
    <w:rsid w:val="00416DFE"/>
    <w:rsid w:val="00425D79"/>
    <w:rsid w:val="00430CE0"/>
    <w:rsid w:val="0043537E"/>
    <w:rsid w:val="00435AAB"/>
    <w:rsid w:val="0044237D"/>
    <w:rsid w:val="00444A87"/>
    <w:rsid w:val="00444E93"/>
    <w:rsid w:val="00446264"/>
    <w:rsid w:val="0044704E"/>
    <w:rsid w:val="0045033A"/>
    <w:rsid w:val="00454BC5"/>
    <w:rsid w:val="004550F6"/>
    <w:rsid w:val="00460E4C"/>
    <w:rsid w:val="00470F36"/>
    <w:rsid w:val="004717D9"/>
    <w:rsid w:val="00472318"/>
    <w:rsid w:val="00476940"/>
    <w:rsid w:val="004826F6"/>
    <w:rsid w:val="00482817"/>
    <w:rsid w:val="00484AC1"/>
    <w:rsid w:val="004916D2"/>
    <w:rsid w:val="00491749"/>
    <w:rsid w:val="00492E6D"/>
    <w:rsid w:val="004938AB"/>
    <w:rsid w:val="00493DB2"/>
    <w:rsid w:val="004A413A"/>
    <w:rsid w:val="004B5858"/>
    <w:rsid w:val="004C0367"/>
    <w:rsid w:val="004C0536"/>
    <w:rsid w:val="004C26F0"/>
    <w:rsid w:val="004C537C"/>
    <w:rsid w:val="004C5FF0"/>
    <w:rsid w:val="004D358A"/>
    <w:rsid w:val="004D4ABC"/>
    <w:rsid w:val="004E1DE9"/>
    <w:rsid w:val="004E6285"/>
    <w:rsid w:val="004E6B91"/>
    <w:rsid w:val="00503435"/>
    <w:rsid w:val="0050622A"/>
    <w:rsid w:val="005077E5"/>
    <w:rsid w:val="00526033"/>
    <w:rsid w:val="00531426"/>
    <w:rsid w:val="005326F5"/>
    <w:rsid w:val="0053529C"/>
    <w:rsid w:val="00552476"/>
    <w:rsid w:val="00556FC3"/>
    <w:rsid w:val="005746A9"/>
    <w:rsid w:val="00582E9C"/>
    <w:rsid w:val="00583CA3"/>
    <w:rsid w:val="00585EC4"/>
    <w:rsid w:val="00590410"/>
    <w:rsid w:val="005924E8"/>
    <w:rsid w:val="005942D2"/>
    <w:rsid w:val="005B3FA7"/>
    <w:rsid w:val="005B4C49"/>
    <w:rsid w:val="005B7734"/>
    <w:rsid w:val="005C0A89"/>
    <w:rsid w:val="005C2E3E"/>
    <w:rsid w:val="005C48CD"/>
    <w:rsid w:val="005D249E"/>
    <w:rsid w:val="005E1E66"/>
    <w:rsid w:val="005E477C"/>
    <w:rsid w:val="005E6510"/>
    <w:rsid w:val="005F0295"/>
    <w:rsid w:val="005F6307"/>
    <w:rsid w:val="005F7B42"/>
    <w:rsid w:val="00601422"/>
    <w:rsid w:val="00607E6B"/>
    <w:rsid w:val="00607F33"/>
    <w:rsid w:val="00614F77"/>
    <w:rsid w:val="0061597C"/>
    <w:rsid w:val="00615D62"/>
    <w:rsid w:val="00620ABF"/>
    <w:rsid w:val="00620D71"/>
    <w:rsid w:val="006258AF"/>
    <w:rsid w:val="00644E97"/>
    <w:rsid w:val="00645836"/>
    <w:rsid w:val="00665C25"/>
    <w:rsid w:val="00673E2A"/>
    <w:rsid w:val="00677AB8"/>
    <w:rsid w:val="00682F2F"/>
    <w:rsid w:val="00684874"/>
    <w:rsid w:val="00691C52"/>
    <w:rsid w:val="006A662B"/>
    <w:rsid w:val="006B1DFD"/>
    <w:rsid w:val="006C4FBA"/>
    <w:rsid w:val="006E371B"/>
    <w:rsid w:val="006E7959"/>
    <w:rsid w:val="006F51D5"/>
    <w:rsid w:val="006F6948"/>
    <w:rsid w:val="007002E3"/>
    <w:rsid w:val="0070266A"/>
    <w:rsid w:val="00710BB8"/>
    <w:rsid w:val="007111B3"/>
    <w:rsid w:val="00721E63"/>
    <w:rsid w:val="00722CF2"/>
    <w:rsid w:val="007249FE"/>
    <w:rsid w:val="00732385"/>
    <w:rsid w:val="00732D87"/>
    <w:rsid w:val="00734B6E"/>
    <w:rsid w:val="0074022D"/>
    <w:rsid w:val="00745A80"/>
    <w:rsid w:val="00746A6E"/>
    <w:rsid w:val="0074741D"/>
    <w:rsid w:val="00757EF3"/>
    <w:rsid w:val="00763B21"/>
    <w:rsid w:val="0076415C"/>
    <w:rsid w:val="00764739"/>
    <w:rsid w:val="00765DA3"/>
    <w:rsid w:val="00771076"/>
    <w:rsid w:val="0077361C"/>
    <w:rsid w:val="007779E8"/>
    <w:rsid w:val="00783713"/>
    <w:rsid w:val="0079086C"/>
    <w:rsid w:val="0079216E"/>
    <w:rsid w:val="00792FCF"/>
    <w:rsid w:val="00793B0C"/>
    <w:rsid w:val="00797521"/>
    <w:rsid w:val="007A2BF6"/>
    <w:rsid w:val="007A50E5"/>
    <w:rsid w:val="007A5325"/>
    <w:rsid w:val="007B6617"/>
    <w:rsid w:val="007C524A"/>
    <w:rsid w:val="007D013E"/>
    <w:rsid w:val="007D0D2E"/>
    <w:rsid w:val="007D61F3"/>
    <w:rsid w:val="007D7E01"/>
    <w:rsid w:val="007E3BDC"/>
    <w:rsid w:val="007E653A"/>
    <w:rsid w:val="007F093C"/>
    <w:rsid w:val="007F0E5B"/>
    <w:rsid w:val="007F47D4"/>
    <w:rsid w:val="007F4C73"/>
    <w:rsid w:val="00807CF4"/>
    <w:rsid w:val="00810923"/>
    <w:rsid w:val="00811554"/>
    <w:rsid w:val="00811C3B"/>
    <w:rsid w:val="0081261B"/>
    <w:rsid w:val="00821797"/>
    <w:rsid w:val="00826794"/>
    <w:rsid w:val="00827CF7"/>
    <w:rsid w:val="008302FF"/>
    <w:rsid w:val="0083076F"/>
    <w:rsid w:val="008458A3"/>
    <w:rsid w:val="00847C3B"/>
    <w:rsid w:val="0085419E"/>
    <w:rsid w:val="008549BB"/>
    <w:rsid w:val="00855267"/>
    <w:rsid w:val="00864F95"/>
    <w:rsid w:val="0087553A"/>
    <w:rsid w:val="008770ED"/>
    <w:rsid w:val="00877F46"/>
    <w:rsid w:val="008840D8"/>
    <w:rsid w:val="008860C0"/>
    <w:rsid w:val="008931E9"/>
    <w:rsid w:val="008976B8"/>
    <w:rsid w:val="008A3680"/>
    <w:rsid w:val="008A3B05"/>
    <w:rsid w:val="008A3E88"/>
    <w:rsid w:val="008B07CB"/>
    <w:rsid w:val="008B5FE4"/>
    <w:rsid w:val="008C3220"/>
    <w:rsid w:val="008D26E5"/>
    <w:rsid w:val="008D33F2"/>
    <w:rsid w:val="008D5594"/>
    <w:rsid w:val="00904C5B"/>
    <w:rsid w:val="009119B8"/>
    <w:rsid w:val="009119F8"/>
    <w:rsid w:val="00915131"/>
    <w:rsid w:val="00920516"/>
    <w:rsid w:val="009227C3"/>
    <w:rsid w:val="00932E89"/>
    <w:rsid w:val="009334E4"/>
    <w:rsid w:val="00933BE1"/>
    <w:rsid w:val="00933D72"/>
    <w:rsid w:val="00934284"/>
    <w:rsid w:val="00936B34"/>
    <w:rsid w:val="00950E82"/>
    <w:rsid w:val="0095171E"/>
    <w:rsid w:val="00951BCE"/>
    <w:rsid w:val="009525C5"/>
    <w:rsid w:val="00952E55"/>
    <w:rsid w:val="009544D9"/>
    <w:rsid w:val="009555AF"/>
    <w:rsid w:val="00970FC5"/>
    <w:rsid w:val="009846E2"/>
    <w:rsid w:val="00987102"/>
    <w:rsid w:val="009A01E9"/>
    <w:rsid w:val="009A2C05"/>
    <w:rsid w:val="009A2F01"/>
    <w:rsid w:val="009B22BC"/>
    <w:rsid w:val="009B3877"/>
    <w:rsid w:val="009B7A0C"/>
    <w:rsid w:val="009C09FF"/>
    <w:rsid w:val="009C6CC3"/>
    <w:rsid w:val="009D159B"/>
    <w:rsid w:val="009E09AC"/>
    <w:rsid w:val="009E2949"/>
    <w:rsid w:val="009E64B4"/>
    <w:rsid w:val="009E6A90"/>
    <w:rsid w:val="009F4345"/>
    <w:rsid w:val="00A00733"/>
    <w:rsid w:val="00A00EFA"/>
    <w:rsid w:val="00A01AF6"/>
    <w:rsid w:val="00A02216"/>
    <w:rsid w:val="00A027F4"/>
    <w:rsid w:val="00A05CD3"/>
    <w:rsid w:val="00A101F4"/>
    <w:rsid w:val="00A15471"/>
    <w:rsid w:val="00A1706F"/>
    <w:rsid w:val="00A32DE4"/>
    <w:rsid w:val="00A36358"/>
    <w:rsid w:val="00A364DE"/>
    <w:rsid w:val="00A43562"/>
    <w:rsid w:val="00A44E8E"/>
    <w:rsid w:val="00A4702E"/>
    <w:rsid w:val="00A5087E"/>
    <w:rsid w:val="00A52A7B"/>
    <w:rsid w:val="00A56555"/>
    <w:rsid w:val="00A76036"/>
    <w:rsid w:val="00A8048D"/>
    <w:rsid w:val="00A826D1"/>
    <w:rsid w:val="00A8425C"/>
    <w:rsid w:val="00A84CEB"/>
    <w:rsid w:val="00A85BD4"/>
    <w:rsid w:val="00A86529"/>
    <w:rsid w:val="00A90B91"/>
    <w:rsid w:val="00A923EE"/>
    <w:rsid w:val="00A969F0"/>
    <w:rsid w:val="00AA0739"/>
    <w:rsid w:val="00AA2D93"/>
    <w:rsid w:val="00AA67D5"/>
    <w:rsid w:val="00AA721A"/>
    <w:rsid w:val="00AB371E"/>
    <w:rsid w:val="00AB48C2"/>
    <w:rsid w:val="00AB4FCF"/>
    <w:rsid w:val="00AB6672"/>
    <w:rsid w:val="00AC5374"/>
    <w:rsid w:val="00AC5EAD"/>
    <w:rsid w:val="00AC7AD5"/>
    <w:rsid w:val="00AD1580"/>
    <w:rsid w:val="00AE580E"/>
    <w:rsid w:val="00AF6EF3"/>
    <w:rsid w:val="00B00106"/>
    <w:rsid w:val="00B0196B"/>
    <w:rsid w:val="00B0314B"/>
    <w:rsid w:val="00B06C6D"/>
    <w:rsid w:val="00B11ADB"/>
    <w:rsid w:val="00B13330"/>
    <w:rsid w:val="00B15F3B"/>
    <w:rsid w:val="00B22581"/>
    <w:rsid w:val="00B26622"/>
    <w:rsid w:val="00B26F6C"/>
    <w:rsid w:val="00B3114F"/>
    <w:rsid w:val="00B317F3"/>
    <w:rsid w:val="00B3604A"/>
    <w:rsid w:val="00B40469"/>
    <w:rsid w:val="00B41F79"/>
    <w:rsid w:val="00B50E5C"/>
    <w:rsid w:val="00B564F8"/>
    <w:rsid w:val="00B6033E"/>
    <w:rsid w:val="00B65B75"/>
    <w:rsid w:val="00B66216"/>
    <w:rsid w:val="00B706C1"/>
    <w:rsid w:val="00B80AFB"/>
    <w:rsid w:val="00B81F45"/>
    <w:rsid w:val="00B853E8"/>
    <w:rsid w:val="00B9468C"/>
    <w:rsid w:val="00B95F43"/>
    <w:rsid w:val="00B96874"/>
    <w:rsid w:val="00BA2BE5"/>
    <w:rsid w:val="00BA769B"/>
    <w:rsid w:val="00BB009B"/>
    <w:rsid w:val="00BB0B9B"/>
    <w:rsid w:val="00BB0E7A"/>
    <w:rsid w:val="00BB6F1C"/>
    <w:rsid w:val="00BB71FF"/>
    <w:rsid w:val="00BC127C"/>
    <w:rsid w:val="00BC515C"/>
    <w:rsid w:val="00BC77DC"/>
    <w:rsid w:val="00BD0105"/>
    <w:rsid w:val="00BD1801"/>
    <w:rsid w:val="00BD25EF"/>
    <w:rsid w:val="00BD2BC1"/>
    <w:rsid w:val="00BD675A"/>
    <w:rsid w:val="00BE1B59"/>
    <w:rsid w:val="00BE4AFD"/>
    <w:rsid w:val="00BE5859"/>
    <w:rsid w:val="00BE71EC"/>
    <w:rsid w:val="00BE7A38"/>
    <w:rsid w:val="00BF427F"/>
    <w:rsid w:val="00BF73C3"/>
    <w:rsid w:val="00C0019B"/>
    <w:rsid w:val="00C02D4D"/>
    <w:rsid w:val="00C060B5"/>
    <w:rsid w:val="00C103E2"/>
    <w:rsid w:val="00C107CB"/>
    <w:rsid w:val="00C10FDC"/>
    <w:rsid w:val="00C11FB1"/>
    <w:rsid w:val="00C14388"/>
    <w:rsid w:val="00C17909"/>
    <w:rsid w:val="00C27A02"/>
    <w:rsid w:val="00C3042E"/>
    <w:rsid w:val="00C373A0"/>
    <w:rsid w:val="00C42DAB"/>
    <w:rsid w:val="00C45A1E"/>
    <w:rsid w:val="00C45E6F"/>
    <w:rsid w:val="00C64007"/>
    <w:rsid w:val="00C7207F"/>
    <w:rsid w:val="00C74D01"/>
    <w:rsid w:val="00C77399"/>
    <w:rsid w:val="00C803FE"/>
    <w:rsid w:val="00C81FAF"/>
    <w:rsid w:val="00C82728"/>
    <w:rsid w:val="00C84EAF"/>
    <w:rsid w:val="00C971BF"/>
    <w:rsid w:val="00C974BD"/>
    <w:rsid w:val="00CA1503"/>
    <w:rsid w:val="00CA2FA4"/>
    <w:rsid w:val="00CA57BF"/>
    <w:rsid w:val="00CA7505"/>
    <w:rsid w:val="00CB019C"/>
    <w:rsid w:val="00CB2C24"/>
    <w:rsid w:val="00CB6289"/>
    <w:rsid w:val="00CC5412"/>
    <w:rsid w:val="00CD18BD"/>
    <w:rsid w:val="00CD1B6A"/>
    <w:rsid w:val="00CD4178"/>
    <w:rsid w:val="00CE1C65"/>
    <w:rsid w:val="00CF3B74"/>
    <w:rsid w:val="00CF47D6"/>
    <w:rsid w:val="00CF5D70"/>
    <w:rsid w:val="00D008E5"/>
    <w:rsid w:val="00D02813"/>
    <w:rsid w:val="00D03953"/>
    <w:rsid w:val="00D2585F"/>
    <w:rsid w:val="00D3135D"/>
    <w:rsid w:val="00D41B1F"/>
    <w:rsid w:val="00D445CD"/>
    <w:rsid w:val="00D50756"/>
    <w:rsid w:val="00D50F7A"/>
    <w:rsid w:val="00D52FDC"/>
    <w:rsid w:val="00D53274"/>
    <w:rsid w:val="00D5644C"/>
    <w:rsid w:val="00D73503"/>
    <w:rsid w:val="00D73F23"/>
    <w:rsid w:val="00D76358"/>
    <w:rsid w:val="00D8016F"/>
    <w:rsid w:val="00D96719"/>
    <w:rsid w:val="00DA75DD"/>
    <w:rsid w:val="00DB0631"/>
    <w:rsid w:val="00DB0E48"/>
    <w:rsid w:val="00DB2FF0"/>
    <w:rsid w:val="00DB4CF3"/>
    <w:rsid w:val="00DD12E3"/>
    <w:rsid w:val="00DD311D"/>
    <w:rsid w:val="00DD526E"/>
    <w:rsid w:val="00DD75A4"/>
    <w:rsid w:val="00DD7973"/>
    <w:rsid w:val="00DD7D7C"/>
    <w:rsid w:val="00DE6707"/>
    <w:rsid w:val="00DE7679"/>
    <w:rsid w:val="00DE7C2D"/>
    <w:rsid w:val="00DF4373"/>
    <w:rsid w:val="00E03501"/>
    <w:rsid w:val="00E04AD7"/>
    <w:rsid w:val="00E07882"/>
    <w:rsid w:val="00E07960"/>
    <w:rsid w:val="00E1333D"/>
    <w:rsid w:val="00E202EB"/>
    <w:rsid w:val="00E20FA1"/>
    <w:rsid w:val="00E21581"/>
    <w:rsid w:val="00E217C3"/>
    <w:rsid w:val="00E247FF"/>
    <w:rsid w:val="00E2582B"/>
    <w:rsid w:val="00E3078B"/>
    <w:rsid w:val="00E32AB3"/>
    <w:rsid w:val="00E354A6"/>
    <w:rsid w:val="00E44111"/>
    <w:rsid w:val="00E47C5B"/>
    <w:rsid w:val="00E50C78"/>
    <w:rsid w:val="00E50CB9"/>
    <w:rsid w:val="00E54E89"/>
    <w:rsid w:val="00E55FB7"/>
    <w:rsid w:val="00E5666F"/>
    <w:rsid w:val="00E636AA"/>
    <w:rsid w:val="00E66D26"/>
    <w:rsid w:val="00E72FFA"/>
    <w:rsid w:val="00E7514C"/>
    <w:rsid w:val="00E7570D"/>
    <w:rsid w:val="00E7596F"/>
    <w:rsid w:val="00E82366"/>
    <w:rsid w:val="00E85187"/>
    <w:rsid w:val="00E85900"/>
    <w:rsid w:val="00E90C98"/>
    <w:rsid w:val="00EA0F56"/>
    <w:rsid w:val="00EA3F22"/>
    <w:rsid w:val="00EA5D84"/>
    <w:rsid w:val="00EA7F4E"/>
    <w:rsid w:val="00EB62F3"/>
    <w:rsid w:val="00EB7142"/>
    <w:rsid w:val="00EC00F9"/>
    <w:rsid w:val="00ED0150"/>
    <w:rsid w:val="00ED3587"/>
    <w:rsid w:val="00EF0B84"/>
    <w:rsid w:val="00EF22D6"/>
    <w:rsid w:val="00EF342C"/>
    <w:rsid w:val="00EF757C"/>
    <w:rsid w:val="00F03A7B"/>
    <w:rsid w:val="00F046E0"/>
    <w:rsid w:val="00F04CF7"/>
    <w:rsid w:val="00F10F8D"/>
    <w:rsid w:val="00F117E5"/>
    <w:rsid w:val="00F12E31"/>
    <w:rsid w:val="00F14F2B"/>
    <w:rsid w:val="00F27940"/>
    <w:rsid w:val="00F30212"/>
    <w:rsid w:val="00F479D9"/>
    <w:rsid w:val="00F5683D"/>
    <w:rsid w:val="00F57556"/>
    <w:rsid w:val="00F62932"/>
    <w:rsid w:val="00F6311A"/>
    <w:rsid w:val="00F6417E"/>
    <w:rsid w:val="00F6736D"/>
    <w:rsid w:val="00F67606"/>
    <w:rsid w:val="00F71FF9"/>
    <w:rsid w:val="00F805DE"/>
    <w:rsid w:val="00F840D5"/>
    <w:rsid w:val="00F84179"/>
    <w:rsid w:val="00F9273D"/>
    <w:rsid w:val="00F97028"/>
    <w:rsid w:val="00FB0E00"/>
    <w:rsid w:val="00FB7834"/>
    <w:rsid w:val="00FC1F33"/>
    <w:rsid w:val="00FC7A19"/>
    <w:rsid w:val="00FE01CC"/>
    <w:rsid w:val="00FE1225"/>
    <w:rsid w:val="00FE4556"/>
    <w:rsid w:val="00FF02E6"/>
    <w:rsid w:val="00FF2A0D"/>
    <w:rsid w:val="00FF6D7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F73C3"/>
    <w:rPr>
      <w:rFonts w:ascii="Calibri" w:hAnsi="Calibri"/>
      <w:sz w:val="20"/>
      <w:szCs w:val="24"/>
      <w:lang w:val="en-US" w:eastAsia="en-US"/>
    </w:rPr>
  </w:style>
  <w:style w:type="paragraph" w:styleId="Heading1">
    <w:name w:val="heading 1"/>
    <w:basedOn w:val="Body"/>
    <w:next w:val="Body"/>
    <w:link w:val="Heading1Char"/>
    <w:autoRedefine/>
    <w:uiPriority w:val="99"/>
    <w:qFormat/>
    <w:rsid w:val="0074022D"/>
    <w:pPr>
      <w:keepNext/>
      <w:numPr>
        <w:numId w:val="3"/>
      </w:numPr>
      <w:tabs>
        <w:tab w:val="num" w:pos="0"/>
      </w:tabs>
      <w:spacing w:before="240" w:after="60"/>
      <w:ind w:hanging="540"/>
      <w:outlineLvl w:val="0"/>
    </w:pPr>
    <w:rPr>
      <w:rFonts w:cs="Arial"/>
      <w:b/>
      <w:bCs/>
      <w:kern w:val="32"/>
      <w:sz w:val="32"/>
      <w:szCs w:val="32"/>
    </w:rPr>
  </w:style>
  <w:style w:type="paragraph" w:styleId="Heading2">
    <w:name w:val="heading 2"/>
    <w:basedOn w:val="Body"/>
    <w:next w:val="Body"/>
    <w:link w:val="Heading2Char"/>
    <w:autoRedefine/>
    <w:uiPriority w:val="99"/>
    <w:qFormat/>
    <w:rsid w:val="003115DE"/>
    <w:pPr>
      <w:keepNext/>
      <w:numPr>
        <w:ilvl w:val="1"/>
        <w:numId w:val="3"/>
      </w:numPr>
      <w:tabs>
        <w:tab w:val="num" w:pos="0"/>
      </w:tabs>
      <w:spacing w:before="240" w:after="60"/>
      <w:ind w:hanging="540"/>
      <w:outlineLvl w:val="1"/>
    </w:pPr>
    <w:rPr>
      <w:rFonts w:cs="Arial"/>
      <w:b/>
      <w:bCs/>
      <w:i/>
      <w:iCs/>
      <w:sz w:val="28"/>
      <w:szCs w:val="28"/>
    </w:rPr>
  </w:style>
  <w:style w:type="paragraph" w:styleId="Heading3">
    <w:name w:val="heading 3"/>
    <w:basedOn w:val="Body"/>
    <w:next w:val="Body"/>
    <w:link w:val="Heading3Char"/>
    <w:uiPriority w:val="99"/>
    <w:qFormat/>
    <w:rsid w:val="00556FC3"/>
    <w:pPr>
      <w:keepNext/>
      <w:numPr>
        <w:ilvl w:val="2"/>
        <w:numId w:val="3"/>
      </w:numPr>
      <w:spacing w:before="240" w:after="60"/>
      <w:outlineLvl w:val="2"/>
    </w:pPr>
    <w:rPr>
      <w:rFonts w:cs="Arial"/>
      <w:b/>
      <w:bCs/>
      <w:sz w:val="24"/>
      <w:szCs w:val="26"/>
    </w:rPr>
  </w:style>
  <w:style w:type="paragraph" w:styleId="Heading4">
    <w:name w:val="heading 4"/>
    <w:basedOn w:val="Normal"/>
    <w:next w:val="Normal"/>
    <w:link w:val="Heading4Char"/>
    <w:uiPriority w:val="99"/>
    <w:qFormat/>
    <w:rsid w:val="0074022D"/>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74022D"/>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74022D"/>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74022D"/>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74022D"/>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74022D"/>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66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566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5666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5666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5666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5666F"/>
    <w:rPr>
      <w:rFonts w:ascii="Calibri" w:hAnsi="Calibri" w:cs="Times New Roman"/>
      <w:b/>
      <w:bCs/>
    </w:rPr>
  </w:style>
  <w:style w:type="character" w:customStyle="1" w:styleId="Heading7Char">
    <w:name w:val="Heading 7 Char"/>
    <w:basedOn w:val="DefaultParagraphFont"/>
    <w:link w:val="Heading7"/>
    <w:uiPriority w:val="99"/>
    <w:semiHidden/>
    <w:locked/>
    <w:rsid w:val="00E5666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5666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5666F"/>
    <w:rPr>
      <w:rFonts w:ascii="Cambria" w:hAnsi="Cambria" w:cs="Times New Roman"/>
    </w:rPr>
  </w:style>
  <w:style w:type="paragraph" w:styleId="Header">
    <w:name w:val="header"/>
    <w:basedOn w:val="Normal"/>
    <w:link w:val="HeaderChar"/>
    <w:uiPriority w:val="99"/>
    <w:rsid w:val="00F6417E"/>
    <w:pPr>
      <w:tabs>
        <w:tab w:val="center" w:pos="4320"/>
        <w:tab w:val="right" w:pos="8640"/>
      </w:tabs>
    </w:pPr>
  </w:style>
  <w:style w:type="character" w:customStyle="1" w:styleId="HeaderChar">
    <w:name w:val="Header Char"/>
    <w:basedOn w:val="DefaultParagraphFont"/>
    <w:link w:val="Header"/>
    <w:uiPriority w:val="99"/>
    <w:semiHidden/>
    <w:locked/>
    <w:rsid w:val="00E5666F"/>
    <w:rPr>
      <w:rFonts w:ascii="Calibri" w:hAnsi="Calibri" w:cs="Times New Roman"/>
      <w:sz w:val="24"/>
      <w:szCs w:val="24"/>
    </w:rPr>
  </w:style>
  <w:style w:type="paragraph" w:styleId="Footer">
    <w:name w:val="footer"/>
    <w:basedOn w:val="Normal"/>
    <w:link w:val="FooterChar"/>
    <w:uiPriority w:val="99"/>
    <w:rsid w:val="00F6417E"/>
    <w:pPr>
      <w:tabs>
        <w:tab w:val="center" w:pos="4320"/>
        <w:tab w:val="right" w:pos="8640"/>
      </w:tabs>
    </w:pPr>
  </w:style>
  <w:style w:type="character" w:customStyle="1" w:styleId="FooterChar">
    <w:name w:val="Footer Char"/>
    <w:basedOn w:val="DefaultParagraphFont"/>
    <w:link w:val="Footer"/>
    <w:uiPriority w:val="99"/>
    <w:semiHidden/>
    <w:locked/>
    <w:rsid w:val="00E5666F"/>
    <w:rPr>
      <w:rFonts w:ascii="Calibri" w:hAnsi="Calibri" w:cs="Times New Roman"/>
      <w:sz w:val="24"/>
      <w:szCs w:val="24"/>
    </w:rPr>
  </w:style>
  <w:style w:type="table" w:styleId="TableGrid">
    <w:name w:val="Table Grid"/>
    <w:basedOn w:val="TableNormal"/>
    <w:uiPriority w:val="99"/>
    <w:rsid w:val="00F6417E"/>
    <w:rPr>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435AAB"/>
  </w:style>
  <w:style w:type="character" w:styleId="Hyperlink">
    <w:name w:val="Hyperlink"/>
    <w:basedOn w:val="DefaultParagraphFont"/>
    <w:uiPriority w:val="99"/>
    <w:rsid w:val="00435AAB"/>
    <w:rPr>
      <w:rFonts w:cs="Times New Roman"/>
      <w:color w:val="0000FF"/>
      <w:u w:val="single"/>
    </w:rPr>
  </w:style>
  <w:style w:type="character" w:styleId="PageNumber">
    <w:name w:val="page number"/>
    <w:basedOn w:val="DefaultParagraphFont"/>
    <w:uiPriority w:val="99"/>
    <w:rsid w:val="00392975"/>
    <w:rPr>
      <w:rFonts w:cs="Times New Roman"/>
    </w:rPr>
  </w:style>
  <w:style w:type="paragraph" w:styleId="BalloonText">
    <w:name w:val="Balloon Text"/>
    <w:basedOn w:val="Normal"/>
    <w:link w:val="BalloonTextChar"/>
    <w:uiPriority w:val="99"/>
    <w:semiHidden/>
    <w:rsid w:val="003741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66F"/>
    <w:rPr>
      <w:rFonts w:cs="Times New Roman"/>
      <w:sz w:val="2"/>
    </w:rPr>
  </w:style>
  <w:style w:type="paragraph" w:customStyle="1" w:styleId="Body">
    <w:name w:val="Body"/>
    <w:basedOn w:val="Normal"/>
    <w:uiPriority w:val="99"/>
    <w:rsid w:val="00E7570D"/>
    <w:pPr>
      <w:suppressAutoHyphens/>
      <w:spacing w:line="260" w:lineRule="atLeast"/>
      <w:jc w:val="both"/>
    </w:pPr>
    <w:rPr>
      <w:sz w:val="21"/>
      <w:szCs w:val="20"/>
      <w:lang w:val="en-GB"/>
    </w:rPr>
  </w:style>
  <w:style w:type="paragraph" w:styleId="FootnoteText">
    <w:name w:val="footnote text"/>
    <w:basedOn w:val="Body"/>
    <w:link w:val="FootnoteTextChar"/>
    <w:uiPriority w:val="99"/>
    <w:semiHidden/>
    <w:rsid w:val="003D6347"/>
    <w:pPr>
      <w:spacing w:line="210" w:lineRule="atLeast"/>
    </w:pPr>
    <w:rPr>
      <w:sz w:val="17"/>
    </w:rPr>
  </w:style>
  <w:style w:type="character" w:customStyle="1" w:styleId="FootnoteTextChar">
    <w:name w:val="Footnote Text Char"/>
    <w:basedOn w:val="DefaultParagraphFont"/>
    <w:link w:val="FootnoteText"/>
    <w:uiPriority w:val="99"/>
    <w:semiHidden/>
    <w:locked/>
    <w:rsid w:val="00E5666F"/>
    <w:rPr>
      <w:rFonts w:ascii="Calibri" w:hAnsi="Calibri" w:cs="Times New Roman"/>
      <w:sz w:val="20"/>
      <w:szCs w:val="20"/>
    </w:rPr>
  </w:style>
  <w:style w:type="character" w:styleId="FootnoteReference">
    <w:name w:val="footnote reference"/>
    <w:basedOn w:val="DefaultParagraphFont"/>
    <w:uiPriority w:val="99"/>
    <w:semiHidden/>
    <w:rsid w:val="003D6347"/>
    <w:rPr>
      <w:rFonts w:cs="Times New Roman"/>
      <w:vertAlign w:val="superscript"/>
    </w:rPr>
  </w:style>
  <w:style w:type="character" w:styleId="CommentReference">
    <w:name w:val="annotation reference"/>
    <w:basedOn w:val="DefaultParagraphFont"/>
    <w:uiPriority w:val="99"/>
    <w:rsid w:val="00E7570D"/>
    <w:rPr>
      <w:rFonts w:cs="Times New Roman"/>
      <w:sz w:val="16"/>
    </w:rPr>
  </w:style>
  <w:style w:type="paragraph" w:styleId="CommentText">
    <w:name w:val="annotation text"/>
    <w:basedOn w:val="Normal"/>
    <w:link w:val="CommentTextChar"/>
    <w:uiPriority w:val="99"/>
    <w:rsid w:val="00E7570D"/>
    <w:rPr>
      <w:szCs w:val="20"/>
    </w:rPr>
  </w:style>
  <w:style w:type="character" w:customStyle="1" w:styleId="CommentTextChar">
    <w:name w:val="Comment Text Char"/>
    <w:basedOn w:val="DefaultParagraphFont"/>
    <w:link w:val="CommentText"/>
    <w:uiPriority w:val="99"/>
    <w:locked/>
    <w:rsid w:val="00E7570D"/>
    <w:rPr>
      <w:rFonts w:ascii="Calibri" w:hAnsi="Calibri" w:cs="Times New Roman"/>
      <w:lang w:val="en-US" w:eastAsia="en-US"/>
    </w:rPr>
  </w:style>
  <w:style w:type="character" w:styleId="EndnoteReference">
    <w:name w:val="endnote reference"/>
    <w:basedOn w:val="DefaultParagraphFont"/>
    <w:uiPriority w:val="99"/>
    <w:semiHidden/>
    <w:rsid w:val="00E7570D"/>
    <w:rPr>
      <w:rFonts w:ascii="Arial" w:hAnsi="Arial" w:cs="Times New Roman"/>
      <w:sz w:val="18"/>
      <w:vertAlign w:val="superscript"/>
    </w:rPr>
  </w:style>
  <w:style w:type="paragraph" w:styleId="TOC2">
    <w:name w:val="toc 2"/>
    <w:basedOn w:val="Normal"/>
    <w:next w:val="Normal"/>
    <w:autoRedefine/>
    <w:uiPriority w:val="99"/>
    <w:semiHidden/>
    <w:rsid w:val="0083076F"/>
    <w:pPr>
      <w:ind w:left="200"/>
    </w:pPr>
  </w:style>
  <w:style w:type="paragraph" w:styleId="TOC3">
    <w:name w:val="toc 3"/>
    <w:basedOn w:val="Normal"/>
    <w:next w:val="Normal"/>
    <w:autoRedefine/>
    <w:uiPriority w:val="99"/>
    <w:semiHidden/>
    <w:rsid w:val="0083076F"/>
    <w:pPr>
      <w:ind w:left="400"/>
    </w:pPr>
  </w:style>
  <w:style w:type="paragraph" w:customStyle="1" w:styleId="StyleHeading1LeftHanging16cmBefore0ptAfter26">
    <w:name w:val="Style Heading 1 + Left Hanging:  16 cm Before:  0 pt After:  26..."/>
    <w:basedOn w:val="Heading1"/>
    <w:next w:val="Body"/>
    <w:autoRedefine/>
    <w:uiPriority w:val="99"/>
    <w:rsid w:val="008770ED"/>
    <w:pPr>
      <w:spacing w:before="0" w:after="520" w:line="360" w:lineRule="exact"/>
      <w:jc w:val="left"/>
    </w:pPr>
    <w:rPr>
      <w:rFonts w:cs="Times New Roman"/>
      <w:szCs w:val="20"/>
    </w:rPr>
  </w:style>
  <w:style w:type="paragraph" w:customStyle="1" w:styleId="StyleHeading2LeftHanging16cmBefore13ptAfter1">
    <w:name w:val="Style Heading 2 + Left Hanging:  16 cm Before:  13 pt After:  1..."/>
    <w:basedOn w:val="Heading2"/>
    <w:next w:val="Body"/>
    <w:autoRedefine/>
    <w:uiPriority w:val="99"/>
    <w:rsid w:val="008770ED"/>
    <w:pPr>
      <w:spacing w:before="260" w:after="260" w:line="260" w:lineRule="exact"/>
      <w:jc w:val="left"/>
    </w:pPr>
    <w:rPr>
      <w:rFonts w:cs="Times New Roman"/>
      <w:szCs w:val="20"/>
    </w:rPr>
  </w:style>
  <w:style w:type="paragraph" w:styleId="CommentSubject">
    <w:name w:val="annotation subject"/>
    <w:basedOn w:val="CommentText"/>
    <w:next w:val="CommentText"/>
    <w:link w:val="CommentSubjectChar"/>
    <w:uiPriority w:val="99"/>
    <w:semiHidden/>
    <w:rsid w:val="00C10FDC"/>
    <w:rPr>
      <w:b/>
      <w:bCs/>
    </w:rPr>
  </w:style>
  <w:style w:type="character" w:customStyle="1" w:styleId="CommentSubjectChar">
    <w:name w:val="Comment Subject Char"/>
    <w:basedOn w:val="CommentTextChar"/>
    <w:link w:val="CommentSubject"/>
    <w:uiPriority w:val="99"/>
    <w:semiHidden/>
    <w:locked/>
    <w:rsid w:val="00E5666F"/>
    <w:rPr>
      <w:b/>
      <w:bCs/>
      <w:sz w:val="20"/>
      <w:szCs w:val="20"/>
    </w:rPr>
  </w:style>
  <w:style w:type="paragraph" w:styleId="DocumentMap">
    <w:name w:val="Document Map"/>
    <w:basedOn w:val="Normal"/>
    <w:link w:val="DocumentMapChar"/>
    <w:uiPriority w:val="99"/>
    <w:semiHidden/>
    <w:rsid w:val="0027308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5666F"/>
    <w:rPr>
      <w:rFonts w:cs="Times New Roman"/>
      <w:sz w:val="2"/>
    </w:rPr>
  </w:style>
  <w:style w:type="character" w:styleId="FollowedHyperlink">
    <w:name w:val="FollowedHyperlink"/>
    <w:basedOn w:val="DefaultParagraphFont"/>
    <w:uiPriority w:val="99"/>
    <w:rsid w:val="00031998"/>
    <w:rPr>
      <w:rFonts w:cs="Times New Roman"/>
      <w:color w:val="800080"/>
      <w:u w:val="single"/>
    </w:rPr>
  </w:style>
  <w:style w:type="paragraph" w:styleId="ListParagraph">
    <w:name w:val="List Paragraph"/>
    <w:basedOn w:val="Normal"/>
    <w:uiPriority w:val="99"/>
    <w:qFormat/>
    <w:rsid w:val="00AA721A"/>
    <w:pPr>
      <w:ind w:left="720"/>
      <w:contextualSpacing/>
    </w:pPr>
    <w:rPr>
      <w:rFonts w:ascii="Arial" w:hAnsi="Arial" w:cs="Arial"/>
      <w:sz w:val="22"/>
      <w:szCs w:val="22"/>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4</Pages>
  <Words>1419</Words>
  <Characters>8092</Characters>
  <Application>Microsoft Office Outlook</Application>
  <DocSecurity>0</DocSecurity>
  <Lines>0</Lines>
  <Paragraphs>0</Paragraphs>
  <ScaleCrop>false</ScaleCrop>
  <Company>TNO Voeding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SESTI working paper</dc:title>
  <dc:subject/>
  <dc:creator>Maurits Butter</dc:creator>
  <cp:keywords/>
  <dc:description/>
  <cp:lastModifiedBy>carabvi</cp:lastModifiedBy>
  <cp:revision>6</cp:revision>
  <cp:lastPrinted>2011-05-26T09:39:00Z</cp:lastPrinted>
  <dcterms:created xsi:type="dcterms:W3CDTF">2011-05-26T08:04:00Z</dcterms:created>
  <dcterms:modified xsi:type="dcterms:W3CDTF">2011-05-26T09:40:00Z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